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3727816A" w:rsidR="00513DD3" w:rsidRPr="0052548E" w:rsidRDefault="00513DD3" w:rsidP="00513DD3">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F95A0C">
        <w:rPr>
          <w:rFonts w:ascii="Arial" w:hAnsi="Arial" w:cs="Arial"/>
          <w:b/>
          <w:bCs/>
          <w:sz w:val="28"/>
        </w:rPr>
        <w:t>00954</w:t>
      </w:r>
    </w:p>
    <w:p w14:paraId="1F172407" w14:textId="711B7A4E"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54D777A"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physical layer </w:t>
      </w:r>
      <w:r w:rsidR="003E6E73">
        <w:rPr>
          <w:rFonts w:eastAsia="ＭＳ 明朝"/>
          <w:sz w:val="22"/>
          <w:szCs w:val="22"/>
          <w:lang w:val="en-US"/>
        </w:rPr>
        <w:t>procedure(</w:t>
      </w:r>
      <w:r w:rsidR="00484F06">
        <w:rPr>
          <w:rFonts w:eastAsia="ＭＳ 明朝"/>
          <w:sz w:val="22"/>
          <w:szCs w:val="22"/>
          <w:lang w:val="en-US"/>
        </w:rPr>
        <w:t>s</w:t>
      </w:r>
      <w:r w:rsidR="003E6E73">
        <w:rPr>
          <w:rFonts w:eastAsia="ＭＳ 明朝"/>
          <w:sz w:val="22"/>
          <w:szCs w:val="22"/>
          <w:lang w:val="en-US"/>
        </w:rPr>
        <w:t>)</w:t>
      </w:r>
      <w:r w:rsidR="00764120">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F31F155" w14:textId="77777777" w:rsidR="003E6E73" w:rsidRPr="003E6E73" w:rsidRDefault="003E6E73" w:rsidP="003E6E73">
            <w:pPr>
              <w:ind w:left="568" w:hanging="284"/>
              <w:rPr>
                <w:rFonts w:eastAsia="游明朝"/>
                <w:sz w:val="20"/>
              </w:rPr>
            </w:pPr>
            <w:r w:rsidRPr="003E6E73">
              <w:rPr>
                <w:rFonts w:eastAsia="游明朝" w:hint="eastAsia"/>
                <w:sz w:val="20"/>
              </w:rPr>
              <w:t>-</w:t>
            </w:r>
            <w:r w:rsidRPr="003E6E73">
              <w:rPr>
                <w:rFonts w:eastAsia="游明朝" w:hint="eastAsia"/>
                <w:sz w:val="20"/>
              </w:rPr>
              <w:tab/>
            </w:r>
            <w:r w:rsidRPr="003E6E73">
              <w:rPr>
                <w:rFonts w:eastAsia="游明朝"/>
                <w:sz w:val="20"/>
              </w:rPr>
              <w:t>Physical layer procedure(s) including [RAN1, RAN2]</w:t>
            </w:r>
            <w:r w:rsidRPr="003E6E73">
              <w:rPr>
                <w:rFonts w:eastAsia="游明朝" w:hint="eastAsia"/>
                <w:sz w:val="20"/>
              </w:rPr>
              <w:t>:</w:t>
            </w:r>
          </w:p>
          <w:p w14:paraId="6A04334D" w14:textId="77777777" w:rsidR="003E6E73" w:rsidRPr="003E6E73" w:rsidRDefault="003E6E73" w:rsidP="003E6E73">
            <w:pPr>
              <w:ind w:left="851" w:hanging="284"/>
              <w:rPr>
                <w:rFonts w:eastAsia="游明朝"/>
                <w:sz w:val="20"/>
                <w:lang w:eastAsia="en-GB"/>
              </w:rPr>
            </w:pPr>
            <w:r w:rsidRPr="003E6E73">
              <w:rPr>
                <w:rFonts w:eastAsia="游明朝" w:hint="eastAsia"/>
                <w:sz w:val="20"/>
              </w:rPr>
              <w:t>-</w:t>
            </w:r>
            <w:r w:rsidRPr="003E6E73">
              <w:rPr>
                <w:rFonts w:eastAsia="游明朝" w:hint="eastAsia"/>
                <w:sz w:val="20"/>
              </w:rPr>
              <w:tab/>
            </w:r>
            <w:r w:rsidRPr="003E6E73">
              <w:rPr>
                <w:rFonts w:eastAsia="游明朝"/>
                <w:sz w:val="20"/>
              </w:rPr>
              <w:t xml:space="preserve">For LBE, channel access </w:t>
            </w:r>
            <w:r w:rsidRPr="003E6E73">
              <w:rPr>
                <w:rFonts w:eastAsia="游明朝"/>
                <w:sz w:val="20"/>
                <w:lang w:eastAsia="en-GB"/>
              </w:rPr>
              <w:t>mechanism in line with agreements from the NR-U study item (TR 38.889, Section 7.2.1.3.1). Specification work to be performed by RAN1.</w:t>
            </w:r>
          </w:p>
          <w:p w14:paraId="3E3100B1"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78F45978"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51194242"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 xml:space="preserve">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 </w:t>
            </w:r>
          </w:p>
          <w:p w14:paraId="510FCCF2"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Scheduling request: specify required NR modifications due to LBT failure</w:t>
            </w:r>
            <w:r w:rsidRPr="003E6E73">
              <w:rPr>
                <w:rFonts w:eastAsia="游明朝"/>
                <w:sz w:val="20"/>
                <w:lang w:eastAsia="en-GB"/>
              </w:rPr>
              <w:t xml:space="preserve"> </w:t>
            </w:r>
            <w:r w:rsidRPr="003E6E73">
              <w:rPr>
                <w:rFonts w:eastAsia="游明朝"/>
                <w:sz w:val="20"/>
              </w:rPr>
              <w:t>in line with agreements during the study phase. (RAN1/RAN2)</w:t>
            </w:r>
          </w:p>
          <w:p w14:paraId="66363A20"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3E6E73">
              <w:rPr>
                <w:rFonts w:eastAsia="游明朝"/>
                <w:sz w:val="20"/>
                <w:lang w:eastAsia="x-none"/>
              </w:rPr>
              <w:t>DRS Measurement Time Configuration</w:t>
            </w:r>
            <w:r w:rsidRPr="003E6E73">
              <w:rPr>
                <w:rFonts w:eastAsia="游明朝"/>
                <w:sz w:val="20"/>
              </w:rPr>
              <w:t xml:space="preserve"> (DMTCs) for RRM and RLM respectively</w:t>
            </w:r>
            <w:r w:rsidRPr="003E6E73">
              <w:rPr>
                <w:rFonts w:eastAsia="Malgun Gothic" w:hint="eastAsia"/>
                <w:sz w:val="20"/>
                <w:lang w:eastAsia="ko-KR"/>
              </w:rPr>
              <w:t>,</w:t>
            </w:r>
            <w:r w:rsidRPr="003E6E73">
              <w:rPr>
                <w:rFonts w:eastAsia="Malgun Gothic"/>
                <w:sz w:val="20"/>
                <w:lang w:eastAsia="ko-KR"/>
              </w:rPr>
              <w:t xml:space="preserve"> </w:t>
            </w:r>
            <w:r w:rsidRPr="003E6E73">
              <w:rPr>
                <w:rFonts w:eastAsia="游明朝"/>
                <w:sz w:val="20"/>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4960D223"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r>
            <w:bookmarkStart w:id="3" w:name="_Hlk532426838"/>
            <w:r w:rsidRPr="003E6E73">
              <w:rPr>
                <w:rFonts w:eastAsia="游明朝"/>
                <w:sz w:val="20"/>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3"/>
          </w:p>
          <w:p w14:paraId="226A73DD"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Scheduling multiple TTIs for PUSCH in-line with agreements from the study phase (TR 38.889, Section 7.2.1.3.3). (RAN1)</w:t>
            </w:r>
          </w:p>
          <w:p w14:paraId="68EBB562" w14:textId="77777777" w:rsidR="003E6E73" w:rsidRPr="003E6E73" w:rsidRDefault="003E6E73" w:rsidP="003E6E73">
            <w:pPr>
              <w:ind w:left="851" w:hanging="284"/>
              <w:rPr>
                <w:rFonts w:eastAsia="游明朝"/>
                <w:sz w:val="20"/>
              </w:rPr>
            </w:pPr>
            <w:r w:rsidRPr="003E6E73">
              <w:rPr>
                <w:rFonts w:eastAsia="游明朝"/>
                <w:sz w:val="20"/>
              </w:rPr>
              <w:t xml:space="preserve">- </w:t>
            </w:r>
            <w:r w:rsidRPr="003E6E73">
              <w:rPr>
                <w:rFonts w:eastAsia="游明朝"/>
                <w:sz w:val="20"/>
              </w:rPr>
              <w:tab/>
              <w:t>Configured Grant operation: NR Type-1 and Type-2 configured grant mechanisms are the baseline for NR-U operation with modifications in line with agreements during the study phase (NR-U TR section 7.2.1.3.4). (RAN1)</w:t>
            </w:r>
          </w:p>
          <w:p w14:paraId="359A511C" w14:textId="77777777" w:rsidR="003E6E73" w:rsidRPr="003E6E73" w:rsidRDefault="003E6E73" w:rsidP="003E6E73">
            <w:pPr>
              <w:ind w:left="851" w:hanging="284"/>
              <w:rPr>
                <w:rFonts w:eastAsia="游明朝"/>
                <w:sz w:val="20"/>
              </w:rPr>
            </w:pPr>
            <w:r w:rsidRPr="003E6E73">
              <w:rPr>
                <w:rFonts w:eastAsia="游明朝"/>
                <w:sz w:val="20"/>
              </w:rPr>
              <w:t>-</w:t>
            </w:r>
            <w:r w:rsidRPr="003E6E73">
              <w:rPr>
                <w:rFonts w:eastAsia="游明朝"/>
                <w:sz w:val="20"/>
              </w:rPr>
              <w:tab/>
              <w:t>CSI: NR Rel-15 CSI feedback mechanism is the baseline for NR-U operation. Enhancements can be considered in line with agreements from the NR-U study item (e.g., TR 38.889, Section 7.2.1.3.1). (RAN1)</w:t>
            </w:r>
          </w:p>
          <w:p w14:paraId="607EE953" w14:textId="4F569672" w:rsidR="00764120" w:rsidRPr="003E6E73" w:rsidRDefault="003E6E73" w:rsidP="003E6E73">
            <w:pPr>
              <w:ind w:left="851" w:hanging="284"/>
              <w:rPr>
                <w:rFonts w:eastAsia="游明朝"/>
                <w:strike/>
                <w:sz w:val="20"/>
              </w:rPr>
            </w:pPr>
            <w:r w:rsidRPr="003E6E73">
              <w:rPr>
                <w:rFonts w:eastAsia="游明朝"/>
                <w:sz w:val="20"/>
              </w:rPr>
              <w:lastRenderedPageBreak/>
              <w:t xml:space="preserve">- </w:t>
            </w:r>
            <w:r w:rsidRPr="003E6E73">
              <w:rPr>
                <w:rFonts w:eastAsia="游明朝"/>
                <w:sz w:val="20"/>
              </w:rPr>
              <w:tab/>
              <w:t xml:space="preserve">Data </w:t>
            </w:r>
            <w:r w:rsidRPr="003E6E73">
              <w:rPr>
                <w:rFonts w:eastAsia="游明朝"/>
                <w:sz w:val="20"/>
                <w:lang w:eastAsia="en-GB"/>
              </w:rPr>
              <w:t>multiplexing aspects (for both UL and DL) considering LBT and channel access priorities. (RAN1/RAN2)</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452E1BD9"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0DDCE2F2" w14:textId="57BEC01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SS/PBCH block transmission as part of DRS</w:t>
      </w:r>
    </w:p>
    <w:p w14:paraId="4632555E" w14:textId="05E49B3C"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EA4CFF">
        <w:rPr>
          <w:sz w:val="22"/>
          <w:szCs w:val="22"/>
          <w:lang w:val="en-US"/>
        </w:rPr>
        <w:t>possible enhancements to SS/PBCH block transmission</w:t>
      </w:r>
      <w:r w:rsidR="00BB00D9">
        <w:rPr>
          <w:sz w:val="22"/>
          <w:szCs w:val="22"/>
          <w:lang w:val="en-US"/>
        </w:rPr>
        <w:t xml:space="preserve"> </w:t>
      </w:r>
      <w:r w:rsidR="00EA4CFF">
        <w:rPr>
          <w:sz w:val="22"/>
          <w:szCs w:val="22"/>
          <w:lang w:val="en-US"/>
        </w:rPr>
        <w:t xml:space="preserve">due to reduced transmission opportunities for SS/PBCH block due to LBT failure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46FA3B8E" w14:textId="77777777" w:rsidR="00EA4CFF" w:rsidRPr="00EA4CFF" w:rsidRDefault="00EA4CFF" w:rsidP="00EA4CFF">
            <w:pPr>
              <w:rPr>
                <w:rFonts w:eastAsia="SimSun"/>
                <w:sz w:val="20"/>
                <w:lang w:eastAsia="en-US"/>
              </w:rPr>
            </w:pPr>
            <w:r w:rsidRPr="00EA4CFF">
              <w:rPr>
                <w:rFonts w:eastAsia="SimSun"/>
                <w:sz w:val="20"/>
                <w:lang w:eastAsia="en-US"/>
              </w:rP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14:paraId="33F3F970" w14:textId="1EBBEE48" w:rsidR="00BB00D9" w:rsidRPr="00EA4CFF" w:rsidRDefault="00EA4CFF" w:rsidP="00BB00D9">
            <w:pPr>
              <w:rPr>
                <w:rFonts w:eastAsia="SimSun"/>
                <w:szCs w:val="24"/>
                <w:lang w:val="en-US" w:eastAsia="zh-CN"/>
              </w:rPr>
            </w:pPr>
            <w:r w:rsidRPr="00EA4CFF">
              <w:rPr>
                <w:rFonts w:eastAsia="SimSun"/>
                <w:sz w:val="20"/>
                <w:lang w:val="en-US" w:eastAsia="en-US"/>
              </w:rP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w:t>
            </w:r>
            <w:r w:rsidRPr="00EA4CFF">
              <w:rPr>
                <w:rFonts w:eastAsia="SimSun"/>
                <w:sz w:val="20"/>
                <w:lang w:eastAsia="en-US"/>
              </w:rPr>
              <w:t>The time-domain positions of the actually transmitted SS/PBCH blocks are selected from a set of Y candidate SS/PBCH block positions. Proposals for s</w:t>
            </w:r>
            <w:r w:rsidRPr="00EA4CFF">
              <w:rPr>
                <w:rFonts w:ascii="Times" w:eastAsia="Batang" w:hAnsi="Times"/>
                <w:sz w:val="20"/>
                <w:szCs w:val="24"/>
                <w:lang w:eastAsia="en-US"/>
              </w:rPr>
              <w:t>hift granularity between candidate time domain SSB positions/candidate groups of SSBs, d</w:t>
            </w:r>
            <w:r w:rsidRPr="00EA4CFF">
              <w:rPr>
                <w:rFonts w:eastAsia="SimSun"/>
                <w:sz w:val="20"/>
                <w:lang w:eastAsia="en-US"/>
              </w:rPr>
              <w:t xml:space="preserve">uration of DRS transmission window, and duration of the transmitted DRS within the window including SSBs and other multiplexed signals/channels, were discussed without reaching consensus, and can be considered further when specifications are developed. </w:t>
            </w:r>
            <w:r w:rsidRPr="00EA4CFF">
              <w:rPr>
                <w:rFonts w:eastAsia="Times New Roman"/>
                <w:szCs w:val="24"/>
                <w:lang w:eastAsia="en-US"/>
              </w:rPr>
              <w:t xml:space="preserve"> </w:t>
            </w:r>
          </w:p>
        </w:tc>
      </w:tr>
    </w:tbl>
    <w:p w14:paraId="7D04C7EE" w14:textId="2DCDF4FD" w:rsidR="00BB00D9" w:rsidRDefault="00BB00D9" w:rsidP="00C517C8">
      <w:pPr>
        <w:spacing w:afterLines="50" w:after="120"/>
        <w:rPr>
          <w:sz w:val="22"/>
          <w:szCs w:val="22"/>
        </w:rPr>
      </w:pPr>
    </w:p>
    <w:p w14:paraId="513C4821" w14:textId="3B2563E3" w:rsidR="00D5782A" w:rsidRPr="00EA4CFF" w:rsidRDefault="00D5782A" w:rsidP="00D5782A">
      <w:pPr>
        <w:pStyle w:val="2"/>
        <w:rPr>
          <w:sz w:val="22"/>
          <w:szCs w:val="22"/>
        </w:rPr>
      </w:pPr>
      <w:r>
        <w:rPr>
          <w:rFonts w:hint="eastAsia"/>
          <w:sz w:val="22"/>
          <w:szCs w:val="22"/>
        </w:rPr>
        <w:t>2.1</w:t>
      </w:r>
      <w:r>
        <w:rPr>
          <w:rFonts w:hint="eastAsia"/>
          <w:sz w:val="22"/>
          <w:szCs w:val="22"/>
        </w:rPr>
        <w:tab/>
      </w:r>
      <w:r>
        <w:rPr>
          <w:sz w:val="22"/>
          <w:szCs w:val="22"/>
        </w:rPr>
        <w:t>NR-U DRS transmission in other candidate position due to LBT failure</w:t>
      </w:r>
    </w:p>
    <w:p w14:paraId="1D263066" w14:textId="012F4CF5" w:rsidR="005C7976" w:rsidRDefault="00F3133E" w:rsidP="005C7976">
      <w:pPr>
        <w:spacing w:afterLines="50" w:after="120"/>
        <w:rPr>
          <w:sz w:val="22"/>
          <w:szCs w:val="22"/>
        </w:rPr>
      </w:pPr>
      <w:r>
        <w:rPr>
          <w:rFonts w:hint="eastAsia"/>
          <w:sz w:val="22"/>
          <w:szCs w:val="22"/>
        </w:rPr>
        <w:t>F</w:t>
      </w:r>
      <w:r>
        <w:rPr>
          <w:sz w:val="22"/>
          <w:szCs w:val="22"/>
        </w:rPr>
        <w:t>or the mechanism of SS/PBCH transmission in NR-U, QCL assumption and SS/PBCH block indexing for expanded candidate SS/PBCH block positions should be considered. In Rel-15, SS/PBCH block index is used to determine frame timing and QCL assumption. I</w:t>
      </w:r>
      <w:r w:rsidR="00B42E52">
        <w:rPr>
          <w:sz w:val="22"/>
          <w:szCs w:val="22"/>
        </w:rPr>
        <w:t>n NR-U, when some SS/PBCH block transmission is dropped due to LBT failure, the SS/PBCH block with same QCL assumption with dropped SS/PBCH block can be transmitted in other candidate SS/PBCH block position within the DRS transmission window. It means that UE needs to search SS/PBCH block(s) during the DRS transmission window duration e.g., for RRM/RLM procedure. To save the UE complexity for SS/PBCH block search, the duration of DRS transmission window should not be too long. Considering the DMTC window duration in LTE-LAA and SMTC window duration in Rel-15 NR, the duration of NR-U DRS transmission window could be 5ms or 6ms.</w:t>
      </w:r>
    </w:p>
    <w:p w14:paraId="7AFC450A" w14:textId="7D041E83" w:rsidR="00B42E52" w:rsidRDefault="00B42E52" w:rsidP="00B42E5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002B2CB1">
        <w:rPr>
          <w:rFonts w:eastAsia="游明朝"/>
          <w:b/>
          <w:sz w:val="22"/>
          <w:szCs w:val="22"/>
        </w:rPr>
        <w:t>The duration of NR-U DRS transmission window is [5 or 6]ms.</w:t>
      </w:r>
    </w:p>
    <w:p w14:paraId="3E7E0963" w14:textId="45756669" w:rsidR="002B2CB1" w:rsidRPr="002B2CB1" w:rsidRDefault="002B2CB1" w:rsidP="00B42E52">
      <w:pPr>
        <w:spacing w:afterLines="50" w:after="120"/>
        <w:jc w:val="both"/>
        <w:rPr>
          <w:rFonts w:eastAsia="游明朝"/>
          <w:b/>
          <w:sz w:val="22"/>
          <w:szCs w:val="22"/>
        </w:rPr>
      </w:pPr>
    </w:p>
    <w:p w14:paraId="43E69200" w14:textId="581ECBCB" w:rsidR="002B2CB1" w:rsidRDefault="002B2CB1" w:rsidP="00B42E52">
      <w:pPr>
        <w:spacing w:afterLines="50" w:after="120"/>
        <w:jc w:val="both"/>
        <w:rPr>
          <w:rFonts w:eastAsia="游明朝"/>
          <w:sz w:val="22"/>
          <w:szCs w:val="22"/>
        </w:rPr>
      </w:pPr>
      <w:r>
        <w:rPr>
          <w:rFonts w:eastAsia="游明朝"/>
          <w:sz w:val="22"/>
          <w:szCs w:val="22"/>
        </w:rPr>
        <w:t xml:space="preserve">Within the DRS transmission window, candidate SS/PBCH block positions can be defined. </w:t>
      </w:r>
      <w:r w:rsidR="00B21BD3">
        <w:rPr>
          <w:rFonts w:eastAsia="游明朝"/>
          <w:sz w:val="22"/>
          <w:szCs w:val="22"/>
        </w:rPr>
        <w:t xml:space="preserve">We consider that SS/PBCH block mapping pattern within a slot i.e., Case A/B/C for FR1 </w:t>
      </w:r>
      <w:r w:rsidR="00D5782A">
        <w:rPr>
          <w:rFonts w:eastAsia="游明朝"/>
          <w:sz w:val="22"/>
          <w:szCs w:val="22"/>
        </w:rPr>
        <w:t xml:space="preserve">[3] </w:t>
      </w:r>
      <w:r w:rsidR="00B21BD3">
        <w:rPr>
          <w:rFonts w:eastAsia="游明朝"/>
          <w:sz w:val="22"/>
          <w:szCs w:val="22"/>
        </w:rPr>
        <w:t>should be reused in NR-U as shown in Figure 1. The number of candidate SS/PBCH block positions within DRS transmission window, i.e., Y is 12 in case of 15kHz SCS or 24 in case of 30kHz SCS.</w:t>
      </w:r>
    </w:p>
    <w:p w14:paraId="5F076C8F" w14:textId="403B3D7D" w:rsidR="00B21BD3" w:rsidRDefault="00B21BD3" w:rsidP="00B21BD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The number of candidate SS/PBCH block positions within NR-U DRS transmission window is </w:t>
      </w:r>
      <w:r w:rsidR="00D56E38">
        <w:rPr>
          <w:rFonts w:eastAsia="游明朝"/>
          <w:b/>
          <w:sz w:val="22"/>
          <w:szCs w:val="22"/>
        </w:rPr>
        <w:t xml:space="preserve">[10 or </w:t>
      </w:r>
      <w:r>
        <w:rPr>
          <w:rFonts w:eastAsia="游明朝"/>
          <w:b/>
          <w:sz w:val="22"/>
          <w:szCs w:val="22"/>
        </w:rPr>
        <w:t>12</w:t>
      </w:r>
      <w:r w:rsidR="00D56E38">
        <w:rPr>
          <w:rFonts w:eastAsia="游明朝"/>
          <w:b/>
          <w:sz w:val="22"/>
          <w:szCs w:val="22"/>
        </w:rPr>
        <w:t>]</w:t>
      </w:r>
      <w:r>
        <w:rPr>
          <w:rFonts w:eastAsia="游明朝"/>
          <w:b/>
          <w:sz w:val="22"/>
          <w:szCs w:val="22"/>
        </w:rPr>
        <w:t xml:space="preserve"> </w:t>
      </w:r>
      <w:r w:rsidR="00EF0E90">
        <w:rPr>
          <w:rFonts w:eastAsia="游明朝"/>
          <w:b/>
          <w:sz w:val="22"/>
          <w:szCs w:val="22"/>
        </w:rPr>
        <w:t xml:space="preserve">in case of 15kHz SCS </w:t>
      </w:r>
      <w:r>
        <w:rPr>
          <w:rFonts w:eastAsia="游明朝"/>
          <w:b/>
          <w:sz w:val="22"/>
          <w:szCs w:val="22"/>
        </w:rPr>
        <w:t xml:space="preserve">or </w:t>
      </w:r>
      <w:r w:rsidR="00D56E38">
        <w:rPr>
          <w:rFonts w:eastAsia="游明朝"/>
          <w:b/>
          <w:sz w:val="22"/>
          <w:szCs w:val="22"/>
        </w:rPr>
        <w:t xml:space="preserve">[20 or </w:t>
      </w:r>
      <w:r>
        <w:rPr>
          <w:rFonts w:eastAsia="游明朝"/>
          <w:b/>
          <w:sz w:val="22"/>
          <w:szCs w:val="22"/>
        </w:rPr>
        <w:t>24</w:t>
      </w:r>
      <w:r w:rsidR="00D56E38">
        <w:rPr>
          <w:rFonts w:eastAsia="游明朝"/>
          <w:b/>
          <w:sz w:val="22"/>
          <w:szCs w:val="22"/>
        </w:rPr>
        <w:t>]</w:t>
      </w:r>
      <w:r w:rsidR="00EF0E90">
        <w:rPr>
          <w:rFonts w:eastAsia="游明朝"/>
          <w:b/>
          <w:sz w:val="22"/>
          <w:szCs w:val="22"/>
        </w:rPr>
        <w:t xml:space="preserve"> in case of 30kHz SCS</w:t>
      </w:r>
      <w:r>
        <w:rPr>
          <w:rFonts w:eastAsia="游明朝"/>
          <w:b/>
          <w:sz w:val="22"/>
          <w:szCs w:val="22"/>
        </w:rPr>
        <w:t>.</w:t>
      </w:r>
    </w:p>
    <w:p w14:paraId="1973A10E" w14:textId="5C862114" w:rsidR="00B21BD3" w:rsidRDefault="00B21BD3" w:rsidP="00B42E52">
      <w:pPr>
        <w:spacing w:afterLines="50" w:after="120"/>
        <w:jc w:val="both"/>
        <w:rPr>
          <w:rFonts w:eastAsia="游明朝"/>
          <w:sz w:val="22"/>
          <w:szCs w:val="22"/>
        </w:rPr>
      </w:pPr>
    </w:p>
    <w:p w14:paraId="20AFE338" w14:textId="7FF41960" w:rsidR="00EF0E90" w:rsidRPr="00B21BD3" w:rsidRDefault="00EF0E90" w:rsidP="00B42E52">
      <w:pPr>
        <w:spacing w:afterLines="50" w:after="120"/>
        <w:jc w:val="both"/>
        <w:rPr>
          <w:rFonts w:eastAsia="游明朝"/>
          <w:sz w:val="22"/>
          <w:szCs w:val="22"/>
        </w:rPr>
      </w:pPr>
      <w:r>
        <w:rPr>
          <w:rFonts w:eastAsia="游明朝" w:hint="eastAsia"/>
          <w:sz w:val="22"/>
          <w:szCs w:val="22"/>
        </w:rPr>
        <w:t xml:space="preserve">Regarding the QCL assumption, we propose to apply same QCL assumption between </w:t>
      </w:r>
      <w:r w:rsidR="009A6B67">
        <w:rPr>
          <w:rFonts w:eastAsia="游明朝"/>
          <w:sz w:val="22"/>
          <w:szCs w:val="22"/>
        </w:rPr>
        <w:t xml:space="preserve">different </w:t>
      </w:r>
      <w:r>
        <w:rPr>
          <w:rFonts w:eastAsia="游明朝" w:hint="eastAsia"/>
          <w:sz w:val="22"/>
          <w:szCs w:val="22"/>
        </w:rPr>
        <w:t>SS/PBCH block</w:t>
      </w:r>
      <w:r w:rsidR="009A6B67">
        <w:rPr>
          <w:rFonts w:eastAsia="游明朝"/>
          <w:sz w:val="22"/>
          <w:szCs w:val="22"/>
        </w:rPr>
        <w:t xml:space="preserve"> indice</w:t>
      </w:r>
      <w:r>
        <w:rPr>
          <w:rFonts w:eastAsia="游明朝" w:hint="eastAsia"/>
          <w:sz w:val="22"/>
          <w:szCs w:val="22"/>
        </w:rPr>
        <w:t xml:space="preserve">s </w:t>
      </w:r>
      <w:r w:rsidR="009A6B67">
        <w:rPr>
          <w:rFonts w:eastAsia="游明朝"/>
          <w:sz w:val="22"/>
          <w:szCs w:val="22"/>
        </w:rPr>
        <w:t xml:space="preserve">e.g., </w:t>
      </w:r>
      <w:r>
        <w:rPr>
          <w:rFonts w:eastAsia="游明朝" w:hint="eastAsia"/>
          <w:sz w:val="22"/>
          <w:szCs w:val="22"/>
        </w:rPr>
        <w:t>with same value of mod(</w:t>
      </w:r>
      <w:r w:rsidR="00842278">
        <w:rPr>
          <w:rFonts w:eastAsia="游明朝"/>
          <w:sz w:val="22"/>
          <w:szCs w:val="22"/>
        </w:rPr>
        <w:t xml:space="preserve">SSB </w:t>
      </w:r>
      <w:r w:rsidR="009A6B67">
        <w:rPr>
          <w:rFonts w:eastAsia="游明朝"/>
          <w:sz w:val="22"/>
          <w:szCs w:val="22"/>
        </w:rPr>
        <w:t>index, N</w:t>
      </w:r>
      <w:r>
        <w:rPr>
          <w:rFonts w:eastAsia="游明朝" w:hint="eastAsia"/>
          <w:sz w:val="22"/>
          <w:szCs w:val="22"/>
        </w:rPr>
        <w:t>)</w:t>
      </w:r>
      <w:r w:rsidR="009A6B67">
        <w:rPr>
          <w:rFonts w:eastAsia="游明朝"/>
          <w:sz w:val="22"/>
          <w:szCs w:val="22"/>
        </w:rPr>
        <w:t>. For example, if N</w:t>
      </w:r>
      <w:r>
        <w:rPr>
          <w:rFonts w:eastAsia="游明朝"/>
          <w:sz w:val="22"/>
          <w:szCs w:val="22"/>
        </w:rPr>
        <w:t>=8, UE can assume SS/PBCH blocks with index {0, 8, 16} are QCLed</w:t>
      </w:r>
      <w:r w:rsidR="00842278">
        <w:rPr>
          <w:rFonts w:eastAsia="游明朝"/>
          <w:sz w:val="22"/>
          <w:szCs w:val="22"/>
        </w:rPr>
        <w:t xml:space="preserve"> as shown in Figure 2</w:t>
      </w:r>
      <w:r>
        <w:rPr>
          <w:rFonts w:eastAsia="游明朝"/>
          <w:sz w:val="22"/>
          <w:szCs w:val="22"/>
        </w:rPr>
        <w:t xml:space="preserve">. In this proposal, fixed QCL assumption is applied to each SS/PBCH block index in different periods and hence it is preferable in terms of </w:t>
      </w:r>
      <w:r w:rsidR="00FA4978">
        <w:rPr>
          <w:rFonts w:eastAsia="游明朝"/>
          <w:sz w:val="22"/>
          <w:szCs w:val="22"/>
        </w:rPr>
        <w:t>simplicity.</w:t>
      </w:r>
    </w:p>
    <w:p w14:paraId="339A1AE9" w14:textId="3AE0DF33" w:rsidR="00842278" w:rsidRDefault="00842278" w:rsidP="0084227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sidR="009A6B67">
        <w:rPr>
          <w:rFonts w:eastAsia="游明朝"/>
          <w:b/>
          <w:sz w:val="22"/>
          <w:szCs w:val="22"/>
        </w:rPr>
        <w:t>In NR-U, UE assumes that SS/PBCH blocks transmitted with different SS/PBCH block index are QCLed</w:t>
      </w:r>
      <w:r>
        <w:rPr>
          <w:rFonts w:eastAsia="游明朝"/>
          <w:b/>
          <w:sz w:val="22"/>
          <w:szCs w:val="22"/>
        </w:rPr>
        <w:t>.</w:t>
      </w:r>
    </w:p>
    <w:p w14:paraId="5B926909" w14:textId="23A98565" w:rsidR="009A6B67" w:rsidRPr="009A6B67" w:rsidRDefault="009A6B67" w:rsidP="009A6B67">
      <w:pPr>
        <w:pStyle w:val="afc"/>
        <w:numPr>
          <w:ilvl w:val="0"/>
          <w:numId w:val="17"/>
        </w:numPr>
        <w:spacing w:afterLines="50" w:after="120"/>
        <w:ind w:leftChars="0"/>
        <w:jc w:val="both"/>
        <w:rPr>
          <w:rFonts w:eastAsia="游明朝"/>
          <w:b/>
          <w:sz w:val="22"/>
          <w:szCs w:val="22"/>
        </w:rPr>
      </w:pPr>
      <w:r>
        <w:rPr>
          <w:rFonts w:eastAsia="游明朝"/>
          <w:b/>
          <w:sz w:val="22"/>
          <w:szCs w:val="22"/>
        </w:rPr>
        <w:t>QCL assumption for each SS/PBCH block within DRS transmission window is fixed according to specification and/or gNB configuration.</w:t>
      </w:r>
    </w:p>
    <w:p w14:paraId="60EDE9FA" w14:textId="77777777" w:rsidR="00B21BD3" w:rsidRPr="00842278" w:rsidRDefault="00B21BD3" w:rsidP="00B42E52">
      <w:pPr>
        <w:spacing w:afterLines="50" w:after="120"/>
        <w:jc w:val="both"/>
        <w:rPr>
          <w:rFonts w:eastAsia="游明朝"/>
          <w:sz w:val="22"/>
          <w:szCs w:val="22"/>
        </w:rPr>
      </w:pPr>
    </w:p>
    <w:p w14:paraId="0EA7F985" w14:textId="072739FC" w:rsidR="00B42E52" w:rsidRDefault="00B21BD3" w:rsidP="005C7976">
      <w:pPr>
        <w:spacing w:afterLines="50" w:after="120"/>
        <w:rPr>
          <w:sz w:val="22"/>
          <w:szCs w:val="22"/>
        </w:rPr>
      </w:pPr>
      <w:r>
        <w:rPr>
          <w:noProof/>
          <w:sz w:val="22"/>
          <w:szCs w:val="22"/>
          <w:lang w:val="en-US"/>
        </w:rPr>
        <w:drawing>
          <wp:inline distT="0" distB="0" distL="0" distR="0" wp14:anchorId="06E81DDD" wp14:editId="1353B9D2">
            <wp:extent cx="6332220" cy="4930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4930775"/>
                    </a:xfrm>
                    <a:prstGeom prst="rect">
                      <a:avLst/>
                    </a:prstGeom>
                  </pic:spPr>
                </pic:pic>
              </a:graphicData>
            </a:graphic>
          </wp:inline>
        </w:drawing>
      </w:r>
    </w:p>
    <w:p w14:paraId="149DB76D" w14:textId="37251C73" w:rsidR="002B2CB1" w:rsidRPr="002B2CB1" w:rsidRDefault="00B21BD3" w:rsidP="00B21BD3">
      <w:pPr>
        <w:spacing w:afterLines="50" w:after="120"/>
        <w:jc w:val="center"/>
        <w:rPr>
          <w:sz w:val="22"/>
          <w:szCs w:val="22"/>
        </w:rPr>
      </w:pPr>
      <w:r>
        <w:rPr>
          <w:rFonts w:hint="eastAsia"/>
          <w:sz w:val="22"/>
          <w:szCs w:val="22"/>
        </w:rPr>
        <w:t xml:space="preserve">Figure 1: </w:t>
      </w:r>
      <w:r>
        <w:rPr>
          <w:sz w:val="22"/>
          <w:szCs w:val="22"/>
        </w:rPr>
        <w:t>Expanded candidate SS/PBCH block positions within DRS transmission window</w:t>
      </w:r>
    </w:p>
    <w:p w14:paraId="51BCFFDC" w14:textId="6DBE134B" w:rsidR="005C7976" w:rsidRDefault="00FA4978" w:rsidP="005C7976">
      <w:pPr>
        <w:spacing w:afterLines="50" w:after="120"/>
        <w:rPr>
          <w:sz w:val="22"/>
          <w:szCs w:val="22"/>
        </w:rPr>
      </w:pPr>
      <w:r>
        <w:rPr>
          <w:noProof/>
          <w:sz w:val="22"/>
          <w:szCs w:val="22"/>
          <w:lang w:val="en-US"/>
        </w:rPr>
        <w:drawing>
          <wp:inline distT="0" distB="0" distL="0" distR="0" wp14:anchorId="6CBB2064" wp14:editId="2717C662">
            <wp:extent cx="6332220" cy="74041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740410"/>
                    </a:xfrm>
                    <a:prstGeom prst="rect">
                      <a:avLst/>
                    </a:prstGeom>
                  </pic:spPr>
                </pic:pic>
              </a:graphicData>
            </a:graphic>
          </wp:inline>
        </w:drawing>
      </w:r>
    </w:p>
    <w:p w14:paraId="26DFC14B" w14:textId="38B4BE41" w:rsidR="00FA4978" w:rsidRPr="002B2CB1" w:rsidRDefault="00FA4978" w:rsidP="00FA4978">
      <w:pPr>
        <w:spacing w:afterLines="50" w:after="120"/>
        <w:jc w:val="center"/>
        <w:rPr>
          <w:sz w:val="22"/>
          <w:szCs w:val="22"/>
        </w:rPr>
      </w:pPr>
      <w:r>
        <w:rPr>
          <w:rFonts w:hint="eastAsia"/>
          <w:sz w:val="22"/>
          <w:szCs w:val="22"/>
        </w:rPr>
        <w:t xml:space="preserve">Figure 2: </w:t>
      </w:r>
      <w:r>
        <w:rPr>
          <w:sz w:val="22"/>
          <w:szCs w:val="22"/>
        </w:rPr>
        <w:t>QCL assumption for expanded candidate SS/PBCH block positions</w:t>
      </w:r>
    </w:p>
    <w:p w14:paraId="2FF708A7" w14:textId="296A22BE" w:rsidR="00FA4978" w:rsidRPr="00FA4978" w:rsidRDefault="00FA4978" w:rsidP="005C7976">
      <w:pPr>
        <w:spacing w:afterLines="50" w:after="120"/>
        <w:rPr>
          <w:sz w:val="22"/>
          <w:szCs w:val="22"/>
        </w:rPr>
      </w:pPr>
    </w:p>
    <w:p w14:paraId="67C39854" w14:textId="1D490F18" w:rsidR="00FA4978" w:rsidRDefault="00842278" w:rsidP="005C7976">
      <w:pPr>
        <w:spacing w:afterLines="50" w:after="120"/>
        <w:rPr>
          <w:sz w:val="22"/>
          <w:szCs w:val="22"/>
        </w:rPr>
      </w:pPr>
      <w:r>
        <w:rPr>
          <w:rFonts w:hint="eastAsia"/>
          <w:sz w:val="22"/>
          <w:szCs w:val="22"/>
        </w:rPr>
        <w:t>In Rel-15 FR1, SS/PBCH block index is indicated by using the sequence of DMRS</w:t>
      </w:r>
      <w:r>
        <w:rPr>
          <w:sz w:val="22"/>
          <w:szCs w:val="22"/>
        </w:rPr>
        <w:t xml:space="preserve"> for PBCH. In order to indicate expanded SS/PBCH block index for NR-U e.g., up to #23, </w:t>
      </w:r>
      <w:r w:rsidR="00D56E38">
        <w:rPr>
          <w:sz w:val="22"/>
          <w:szCs w:val="22"/>
        </w:rPr>
        <w:t xml:space="preserve">PBCH payload needs to be used in addition to the DMRS sequence. </w:t>
      </w:r>
      <w:r w:rsidR="00F55C9D">
        <w:rPr>
          <w:sz w:val="22"/>
          <w:szCs w:val="22"/>
        </w:rPr>
        <w:t>The SS/PBCH block index indication up to #63 is already supported in Rel-15 for FR2 and hence it could be reused.</w:t>
      </w:r>
    </w:p>
    <w:p w14:paraId="7D0392F7" w14:textId="695E895F" w:rsidR="00F55C9D" w:rsidRDefault="00F55C9D" w:rsidP="00F55C9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On NR-U carrier, UE derives SS/PBCH block index based on DMRS sequence and PBCH payload to determine frame timing.</w:t>
      </w:r>
    </w:p>
    <w:p w14:paraId="16D4C770" w14:textId="5227F252" w:rsidR="00F55C9D" w:rsidRDefault="00F55C9D" w:rsidP="005C7976">
      <w:pPr>
        <w:spacing w:afterLines="50" w:after="120"/>
        <w:rPr>
          <w:sz w:val="22"/>
          <w:szCs w:val="22"/>
        </w:rPr>
      </w:pPr>
    </w:p>
    <w:p w14:paraId="61881B6A" w14:textId="0518E3E2" w:rsidR="00BF52CB" w:rsidRDefault="00BF52CB" w:rsidP="005C7976">
      <w:pPr>
        <w:spacing w:afterLines="50" w:after="120"/>
        <w:rPr>
          <w:sz w:val="22"/>
          <w:szCs w:val="22"/>
        </w:rPr>
      </w:pPr>
    </w:p>
    <w:p w14:paraId="241F7333" w14:textId="77777777" w:rsidR="00BF52CB" w:rsidRPr="001E628A" w:rsidRDefault="00BF52CB" w:rsidP="00BF52CB">
      <w:pPr>
        <w:pStyle w:val="2"/>
        <w:rPr>
          <w:sz w:val="22"/>
          <w:szCs w:val="22"/>
        </w:rPr>
      </w:pPr>
      <w:r>
        <w:rPr>
          <w:sz w:val="22"/>
          <w:szCs w:val="22"/>
        </w:rPr>
        <w:t>2.2</w:t>
      </w:r>
      <w:r>
        <w:rPr>
          <w:sz w:val="22"/>
          <w:szCs w:val="22"/>
        </w:rPr>
        <w:tab/>
        <w:t>PDSCH rate matching around candidate SS/PBCH block resources</w:t>
      </w:r>
    </w:p>
    <w:p w14:paraId="6593218C" w14:textId="525B5E6E" w:rsidR="00BF52CB" w:rsidRDefault="00BF52CB" w:rsidP="00BF52CB">
      <w:pPr>
        <w:spacing w:afterLines="50" w:after="120"/>
        <w:rPr>
          <w:sz w:val="22"/>
          <w:szCs w:val="22"/>
        </w:rPr>
      </w:pPr>
      <w:r>
        <w:rPr>
          <w:rFonts w:hint="eastAsia"/>
          <w:sz w:val="22"/>
          <w:szCs w:val="22"/>
        </w:rPr>
        <w:t xml:space="preserve">For PDSCH reception within NR-U DRS transmission window, UE rate matching behaviour around candidate SS/PBCH block resources should be considered. </w:t>
      </w:r>
      <w:r>
        <w:rPr>
          <w:sz w:val="22"/>
          <w:szCs w:val="22"/>
        </w:rPr>
        <w:t xml:space="preserve">In Rel-15, </w:t>
      </w:r>
      <w:r>
        <w:rPr>
          <w:rFonts w:hint="eastAsia"/>
          <w:sz w:val="22"/>
          <w:szCs w:val="22"/>
        </w:rPr>
        <w:t>UE rate matching behaviour around</w:t>
      </w:r>
      <w:r>
        <w:rPr>
          <w:sz w:val="22"/>
          <w:szCs w:val="22"/>
        </w:rPr>
        <w:t xml:space="preserve"> SS/PBCH block resources is defined in Section 5.1.4 of TS38.214 [4], and it is based on the higher layer indication of actually transmitted SS/PBCH block indices. However, in NR-U, the position of actually transmitted SS/PBCH block would be changed in different periods due to different LBT results. Therefore, we propose to consider following two alternatives.</w:t>
      </w:r>
    </w:p>
    <w:p w14:paraId="587AF6A3" w14:textId="77777777" w:rsidR="00BF52CB" w:rsidRDefault="00BF52CB" w:rsidP="00BF52CB">
      <w:pPr>
        <w:pStyle w:val="afc"/>
        <w:numPr>
          <w:ilvl w:val="0"/>
          <w:numId w:val="14"/>
        </w:numPr>
        <w:spacing w:afterLines="50" w:after="120"/>
        <w:ind w:leftChars="0"/>
        <w:rPr>
          <w:sz w:val="22"/>
          <w:szCs w:val="22"/>
        </w:rPr>
      </w:pPr>
      <w:r>
        <w:rPr>
          <w:rFonts w:hint="eastAsia"/>
          <w:sz w:val="22"/>
          <w:szCs w:val="22"/>
        </w:rPr>
        <w:t xml:space="preserve">Alt.1: UE performs </w:t>
      </w:r>
      <w:r>
        <w:rPr>
          <w:sz w:val="22"/>
          <w:szCs w:val="22"/>
        </w:rPr>
        <w:t>rate matching around all candidate SS/PBCH block resources</w:t>
      </w:r>
    </w:p>
    <w:p w14:paraId="0054B1F2" w14:textId="77777777" w:rsidR="00BF52CB" w:rsidRDefault="00BF52CB" w:rsidP="00BF52CB">
      <w:pPr>
        <w:pStyle w:val="afc"/>
        <w:numPr>
          <w:ilvl w:val="1"/>
          <w:numId w:val="14"/>
        </w:numPr>
        <w:spacing w:afterLines="50" w:after="120"/>
        <w:ind w:leftChars="0"/>
        <w:rPr>
          <w:sz w:val="22"/>
          <w:szCs w:val="22"/>
        </w:rPr>
      </w:pPr>
      <w:r>
        <w:rPr>
          <w:sz w:val="22"/>
          <w:szCs w:val="22"/>
        </w:rPr>
        <w:t>In this alternative, UE performs rate matching around all candidate SS/PBCH block resources within NR-U DRS transmission window. It is simple mechanism since no indication is necessary, but it is inefficient when there are candidate SS/PBCH block resources that are actually available for PDSCH within DRS transmission window.</w:t>
      </w:r>
    </w:p>
    <w:p w14:paraId="4C3B4583" w14:textId="77777777" w:rsidR="00BF52CB" w:rsidRDefault="00BF52CB" w:rsidP="00BF52CB">
      <w:pPr>
        <w:pStyle w:val="afc"/>
        <w:numPr>
          <w:ilvl w:val="0"/>
          <w:numId w:val="14"/>
        </w:numPr>
        <w:spacing w:afterLines="50" w:after="120"/>
        <w:ind w:leftChars="0"/>
        <w:rPr>
          <w:sz w:val="22"/>
          <w:szCs w:val="22"/>
        </w:rPr>
      </w:pPr>
      <w:r>
        <w:rPr>
          <w:sz w:val="22"/>
          <w:szCs w:val="22"/>
        </w:rPr>
        <w:t>Alt.2: UE performs rate matching around SS/PBCH block resources based on rate matching indicator in DCI</w:t>
      </w:r>
    </w:p>
    <w:p w14:paraId="18E6A010" w14:textId="77777777" w:rsidR="00BF52CB" w:rsidRPr="00665A6E" w:rsidRDefault="00BF52CB" w:rsidP="00BF52CB">
      <w:pPr>
        <w:pStyle w:val="afc"/>
        <w:numPr>
          <w:ilvl w:val="1"/>
          <w:numId w:val="14"/>
        </w:numPr>
        <w:spacing w:afterLines="50" w:after="120"/>
        <w:ind w:leftChars="0"/>
        <w:rPr>
          <w:sz w:val="22"/>
          <w:szCs w:val="22"/>
        </w:rPr>
      </w:pPr>
      <w:r>
        <w:rPr>
          <w:sz w:val="22"/>
          <w:szCs w:val="22"/>
        </w:rPr>
        <w:t>In this alternative, the rate matching indicator in DCI format 1_1 can be extended to indicate availability of candidate SS/PBCH block resources in each slot. Therefore, when SS/PBCH blocks could be transmitted in early timing within DRS transmission window, remaining candidate SS/PBCH block resources within DRS transmission window can be used for PDSCH transmission.</w:t>
      </w:r>
    </w:p>
    <w:p w14:paraId="62975622" w14:textId="779EB1D9" w:rsidR="00BF52CB" w:rsidRPr="00D446AF" w:rsidRDefault="00BF52CB" w:rsidP="00BF52CB">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Pr>
          <w:rFonts w:eastAsia="游明朝" w:hint="eastAsia"/>
          <w:b/>
          <w:sz w:val="22"/>
          <w:szCs w:val="22"/>
          <w:u w:val="single"/>
        </w:rPr>
        <w:t>5</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62D04BC3" w14:textId="77777777" w:rsidR="00BF52CB" w:rsidRPr="00D446AF" w:rsidRDefault="00BF52CB" w:rsidP="00BF52CB">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6BF769E1" w14:textId="77777777" w:rsidR="00BF52CB" w:rsidRPr="00D446AF" w:rsidRDefault="00BF52CB" w:rsidP="00BF52CB">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26EAFDDD" w14:textId="77777777" w:rsidR="00BF52CB" w:rsidRPr="00BF52CB" w:rsidRDefault="00BF52CB" w:rsidP="005C7976">
      <w:pPr>
        <w:spacing w:afterLines="50" w:after="120"/>
        <w:rPr>
          <w:b/>
          <w:sz w:val="22"/>
          <w:szCs w:val="22"/>
        </w:rPr>
      </w:pPr>
    </w:p>
    <w:p w14:paraId="701703F2" w14:textId="4438E620" w:rsidR="00BF52CB" w:rsidRDefault="00BF52CB" w:rsidP="005C7976">
      <w:pPr>
        <w:spacing w:afterLines="50" w:after="120"/>
        <w:rPr>
          <w:sz w:val="22"/>
          <w:szCs w:val="22"/>
        </w:rPr>
      </w:pPr>
    </w:p>
    <w:p w14:paraId="13E013D3" w14:textId="72AA3DA3" w:rsidR="00BF52CB" w:rsidRPr="009517C5" w:rsidRDefault="00BF52CB" w:rsidP="00BF52CB">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RMSI/OSI/paging procedures</w:t>
      </w:r>
    </w:p>
    <w:p w14:paraId="04B3BE6A" w14:textId="779ADD8C" w:rsidR="00F55C9D" w:rsidRDefault="00CC07C9" w:rsidP="005C7976">
      <w:pPr>
        <w:spacing w:afterLines="50" w:after="120"/>
        <w:rPr>
          <w:sz w:val="22"/>
          <w:szCs w:val="22"/>
        </w:rPr>
      </w:pPr>
      <w:r>
        <w:rPr>
          <w:rFonts w:hint="eastAsia"/>
          <w:sz w:val="22"/>
          <w:szCs w:val="22"/>
        </w:rPr>
        <w:t xml:space="preserve">In some NR-U deployment scenarios, RMSI PDCCH/PDSCH are transmitted with SS/PBCH block as part of NR-U DRS. </w:t>
      </w:r>
      <w:r>
        <w:rPr>
          <w:sz w:val="22"/>
          <w:szCs w:val="22"/>
        </w:rPr>
        <w:t>When LBT failure happens, not only SS/PBCH block but also RMSI PDCCH/PDSCH should be able to be transmitted in other candidate DRS position within DRS transmission window.</w:t>
      </w:r>
      <w:r w:rsidR="00D5782A">
        <w:rPr>
          <w:sz w:val="22"/>
          <w:szCs w:val="22"/>
        </w:rPr>
        <w:t xml:space="preserve"> As discussed in our c</w:t>
      </w:r>
      <w:r w:rsidR="00BF52CB">
        <w:rPr>
          <w:sz w:val="22"/>
          <w:szCs w:val="22"/>
        </w:rPr>
        <w:t>ompanion contribution [5</w:t>
      </w:r>
      <w:r w:rsidR="00D5782A">
        <w:rPr>
          <w:sz w:val="22"/>
          <w:szCs w:val="22"/>
        </w:rPr>
        <w:t>], it is preferable that SS/PBCH block and corresponding RMSI PDCCH are located in the same slot without time gap so that it can be ensured that SS/PBCH block and corresponding RMSI are transmitted together.</w:t>
      </w:r>
    </w:p>
    <w:p w14:paraId="6176595F" w14:textId="0A5C2887" w:rsidR="00D5782A" w:rsidRDefault="00D5782A" w:rsidP="00D5782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BF52CB">
        <w:rPr>
          <w:rFonts w:eastAsia="游明朝" w:hint="eastAsia"/>
          <w:b/>
          <w:sz w:val="22"/>
          <w:szCs w:val="22"/>
          <w:u w:val="single"/>
        </w:rPr>
        <w:t>6</w:t>
      </w:r>
      <w:r>
        <w:rPr>
          <w:rFonts w:eastAsia="游明朝" w:hint="eastAsia"/>
          <w:b/>
          <w:sz w:val="22"/>
          <w:szCs w:val="22"/>
        </w:rPr>
        <w:t xml:space="preserve">: </w:t>
      </w:r>
      <w:r w:rsidR="001E628A">
        <w:rPr>
          <w:rFonts w:eastAsia="游明朝"/>
          <w:b/>
          <w:sz w:val="22"/>
          <w:szCs w:val="22"/>
        </w:rPr>
        <w:t xml:space="preserve">When DRS contains RMSI PDCCH/PDSCH and LBT failure happens at the transmission opportunity for the DRS, the </w:t>
      </w:r>
      <w:r w:rsidR="00B9435A">
        <w:rPr>
          <w:rFonts w:eastAsia="游明朝"/>
          <w:b/>
          <w:sz w:val="22"/>
          <w:szCs w:val="22"/>
        </w:rPr>
        <w:t xml:space="preserve">RMSI PDCCH/PDSCH in the </w:t>
      </w:r>
      <w:r w:rsidR="001E628A">
        <w:rPr>
          <w:rFonts w:eastAsia="游明朝"/>
          <w:b/>
          <w:sz w:val="22"/>
          <w:szCs w:val="22"/>
        </w:rPr>
        <w:t>DRS is transmitted in other candidate DRS position within DRS transmission window</w:t>
      </w:r>
      <w:r>
        <w:rPr>
          <w:rFonts w:eastAsia="游明朝"/>
          <w:b/>
          <w:sz w:val="22"/>
          <w:szCs w:val="22"/>
        </w:rPr>
        <w:t>.</w:t>
      </w:r>
    </w:p>
    <w:p w14:paraId="60FD6B26" w14:textId="27FE92C6" w:rsidR="00D5782A" w:rsidRDefault="00D5782A" w:rsidP="005C7976">
      <w:pPr>
        <w:spacing w:afterLines="50" w:after="120"/>
        <w:rPr>
          <w:sz w:val="22"/>
          <w:szCs w:val="22"/>
        </w:rPr>
      </w:pPr>
    </w:p>
    <w:p w14:paraId="6C517D09" w14:textId="54A7CDEC" w:rsidR="001E628A" w:rsidRDefault="00BF52CB" w:rsidP="005C7976">
      <w:pPr>
        <w:spacing w:afterLines="50" w:after="120"/>
        <w:rPr>
          <w:sz w:val="22"/>
          <w:szCs w:val="22"/>
        </w:rPr>
      </w:pPr>
      <w:r>
        <w:rPr>
          <w:rFonts w:hint="eastAsia"/>
          <w:sz w:val="22"/>
          <w:szCs w:val="22"/>
        </w:rPr>
        <w:t xml:space="preserve">In Rel-15 NR, </w:t>
      </w:r>
      <w:r w:rsidR="001319BE">
        <w:rPr>
          <w:sz w:val="22"/>
          <w:szCs w:val="22"/>
        </w:rPr>
        <w:t>OSI/paging PDCCH monitoring behaviour is dependent on SS#0 or other SS as below</w:t>
      </w:r>
      <w:r w:rsidR="00372324">
        <w:rPr>
          <w:sz w:val="22"/>
          <w:szCs w:val="22"/>
        </w:rPr>
        <w:t xml:space="preserve"> [3]</w:t>
      </w:r>
      <w:r w:rsidR="001319BE">
        <w:rPr>
          <w:sz w:val="22"/>
          <w:szCs w:val="22"/>
        </w:rPr>
        <w:t>.</w:t>
      </w:r>
    </w:p>
    <w:tbl>
      <w:tblPr>
        <w:tblStyle w:val="afa"/>
        <w:tblW w:w="0" w:type="auto"/>
        <w:tblLook w:val="04A0" w:firstRow="1" w:lastRow="0" w:firstColumn="1" w:lastColumn="0" w:noHBand="0" w:noVBand="1"/>
      </w:tblPr>
      <w:tblGrid>
        <w:gridCol w:w="9962"/>
      </w:tblGrid>
      <w:tr w:rsidR="001319BE" w14:paraId="35BB5A64" w14:textId="77777777" w:rsidTr="001319BE">
        <w:tc>
          <w:tcPr>
            <w:tcW w:w="9962" w:type="dxa"/>
          </w:tcPr>
          <w:p w14:paraId="79646CA2" w14:textId="77777777" w:rsidR="001319BE" w:rsidRPr="001319BE" w:rsidRDefault="001319BE" w:rsidP="001319BE">
            <w:pPr>
              <w:rPr>
                <w:rFonts w:eastAsia="游明朝"/>
                <w:sz w:val="20"/>
                <w:lang w:eastAsia="en-US"/>
              </w:rPr>
            </w:pPr>
            <w:r w:rsidRPr="001319BE">
              <w:rPr>
                <w:rFonts w:eastAsia="游明朝"/>
                <w:sz w:val="20"/>
                <w:lang w:eastAsia="en-US"/>
              </w:rPr>
              <w:t xml:space="preserve">If a UE is provided a zero value for </w:t>
            </w:r>
            <w:r w:rsidRPr="001319BE">
              <w:rPr>
                <w:rFonts w:eastAsia="游明朝"/>
                <w:i/>
                <w:iCs/>
                <w:sz w:val="20"/>
                <w:lang w:val="en-US" w:eastAsia="x-none"/>
              </w:rPr>
              <w:t>searchSpaceID</w:t>
            </w:r>
            <w:r w:rsidRPr="001319BE">
              <w:rPr>
                <w:rFonts w:eastAsia="游明朝"/>
                <w:iCs/>
                <w:sz w:val="20"/>
                <w:lang w:val="en-US" w:eastAsia="x-none"/>
              </w:rPr>
              <w:t xml:space="preserve"> in </w:t>
            </w:r>
            <w:r w:rsidRPr="001319BE">
              <w:rPr>
                <w:rFonts w:eastAsia="游明朝"/>
                <w:i/>
                <w:sz w:val="20"/>
                <w:lang w:eastAsia="en-US"/>
              </w:rPr>
              <w:t>PDCCH-ConfigCommon</w:t>
            </w:r>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14:paraId="1CA86AB4"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an indication by a MAC CE activation command</w:t>
            </w:r>
            <w:r w:rsidRPr="001319BE">
              <w:rPr>
                <w:rFonts w:eastAsia="游明朝"/>
                <w:sz w:val="20"/>
                <w:lang w:val="en-US" w:eastAsia="en-US"/>
              </w:rPr>
              <w:t>,</w:t>
            </w:r>
            <w:r w:rsidRPr="001319BE">
              <w:rPr>
                <w:rFonts w:eastAsia="游明朝"/>
                <w:sz w:val="20"/>
                <w:lang w:val="x-none" w:eastAsia="en-US"/>
              </w:rPr>
              <w:t xml:space="preserve"> or </w:t>
            </w:r>
          </w:p>
          <w:p w14:paraId="04124BF1"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 random access procedure that is not initiated by a PDCCH order that triggers a non-contention based random access procedure</w:t>
            </w:r>
          </w:p>
          <w:p w14:paraId="28C55785" w14:textId="4805BF10" w:rsidR="001319BE" w:rsidRPr="001319BE" w:rsidRDefault="001319BE" w:rsidP="001319BE">
            <w:pPr>
              <w:rPr>
                <w:rFonts w:eastAsia="SimSun"/>
                <w:sz w:val="20"/>
                <w:lang w:eastAsia="zh-CN"/>
              </w:rPr>
            </w:pPr>
            <w:r w:rsidRPr="001319BE">
              <w:rPr>
                <w:rFonts w:eastAsia="游明朝"/>
                <w:sz w:val="20"/>
                <w:lang w:eastAsia="en-US"/>
              </w:rPr>
              <w:t xml:space="preserve">If a UE monitors PDCCH candidates for DCI formats with CRC scrambled by a C-RNTI and the UE is provided a non-zero value for </w:t>
            </w:r>
            <w:r w:rsidRPr="001319BE">
              <w:rPr>
                <w:rFonts w:eastAsia="游明朝"/>
                <w:i/>
                <w:iCs/>
                <w:sz w:val="20"/>
                <w:lang w:val="en-US" w:eastAsia="x-none"/>
              </w:rPr>
              <w:t xml:space="preserve">searchSpaceID </w:t>
            </w:r>
            <w:r w:rsidRPr="001319BE">
              <w:rPr>
                <w:rFonts w:eastAsia="游明朝"/>
                <w:iCs/>
                <w:sz w:val="20"/>
                <w:lang w:val="en-US" w:eastAsia="x-none"/>
              </w:rPr>
              <w:t xml:space="preserve">in </w:t>
            </w:r>
            <w:r w:rsidRPr="001319BE">
              <w:rPr>
                <w:rFonts w:eastAsia="游明朝"/>
                <w:i/>
                <w:sz w:val="20"/>
                <w:lang w:eastAsia="en-US"/>
              </w:rPr>
              <w:t>PDCCH-ConfigCommon</w:t>
            </w:r>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based on the search space set associated with the value of </w:t>
            </w:r>
            <w:r w:rsidRPr="001319BE">
              <w:rPr>
                <w:rFonts w:eastAsia="游明朝"/>
                <w:i/>
                <w:iCs/>
                <w:sz w:val="20"/>
                <w:lang w:val="en-US" w:eastAsia="x-none"/>
              </w:rPr>
              <w:t>searchSpaceID</w:t>
            </w:r>
            <w:r w:rsidRPr="001319BE">
              <w:rPr>
                <w:rFonts w:eastAsia="游明朝"/>
                <w:sz w:val="20"/>
                <w:lang w:eastAsia="en-US"/>
              </w:rPr>
              <w:t xml:space="preserve">.   </w:t>
            </w:r>
          </w:p>
        </w:tc>
      </w:tr>
    </w:tbl>
    <w:p w14:paraId="49804821" w14:textId="77777777" w:rsidR="001319BE" w:rsidRPr="001319BE" w:rsidRDefault="001319BE" w:rsidP="005C7976">
      <w:pPr>
        <w:spacing w:afterLines="50" w:after="120"/>
        <w:rPr>
          <w:sz w:val="22"/>
          <w:szCs w:val="22"/>
        </w:rPr>
      </w:pPr>
    </w:p>
    <w:p w14:paraId="10BE8EF5" w14:textId="66C314EE" w:rsidR="001E628A" w:rsidRDefault="001319BE" w:rsidP="00D446AF">
      <w:pPr>
        <w:spacing w:afterLines="50" w:after="120"/>
        <w:rPr>
          <w:sz w:val="22"/>
          <w:szCs w:val="22"/>
        </w:rPr>
      </w:pPr>
      <w:r>
        <w:rPr>
          <w:rFonts w:hint="eastAsia"/>
          <w:sz w:val="22"/>
          <w:szCs w:val="22"/>
        </w:rPr>
        <w:t>I</w:t>
      </w:r>
      <w:r>
        <w:rPr>
          <w:sz w:val="22"/>
          <w:szCs w:val="22"/>
        </w:rPr>
        <w:t xml:space="preserve">n case that SS#0 is used for Type0A/2-PDCCH CSS set, </w:t>
      </w:r>
      <w:r w:rsidR="00372324">
        <w:rPr>
          <w:sz w:val="22"/>
          <w:szCs w:val="22"/>
        </w:rPr>
        <w:t>UE behaviour for OSI/paging PDCCH monitoring should be same as that for RMSI PDCCH monitoring. As in Proposal 6, we propose that each candidate SS/PBCH block index within DRS transmission window has associated PDCCH monitoring occasion for RMSI. Hence, for OSI/paging PDCCH transmission</w:t>
      </w:r>
      <w:r w:rsidR="00B9435A">
        <w:rPr>
          <w:sz w:val="22"/>
          <w:szCs w:val="22"/>
        </w:rPr>
        <w:t xml:space="preserve"> in SS#0</w:t>
      </w:r>
      <w:r w:rsidR="00372324">
        <w:rPr>
          <w:sz w:val="22"/>
          <w:szCs w:val="22"/>
        </w:rPr>
        <w:t>, if LBT failure happens at the original PDCCH occasion which is associated to a SS/PBCH block index #n, other candidate PDCCH occasion which is associ</w:t>
      </w:r>
      <w:r w:rsidR="009A6B67">
        <w:rPr>
          <w:sz w:val="22"/>
          <w:szCs w:val="22"/>
        </w:rPr>
        <w:t>ated to a SS/PBCH block index #N</w:t>
      </w:r>
      <w:r w:rsidR="00372324">
        <w:rPr>
          <w:sz w:val="22"/>
          <w:szCs w:val="22"/>
        </w:rPr>
        <w:t>+n QCLed with the SS/PBCH block index #n can be used.</w:t>
      </w:r>
    </w:p>
    <w:p w14:paraId="57671595" w14:textId="3B0BB349" w:rsidR="00D446AF" w:rsidRDefault="00144F85" w:rsidP="005C7976">
      <w:pPr>
        <w:spacing w:afterLines="50" w:after="120"/>
        <w:rPr>
          <w:sz w:val="22"/>
          <w:szCs w:val="22"/>
        </w:rPr>
      </w:pPr>
      <w:r>
        <w:rPr>
          <w:sz w:val="22"/>
          <w:szCs w:val="22"/>
        </w:rPr>
        <w:t>In case that SS-ID other than #0 is used for Type0A/2-PDCCH CSS set, CONNECTED mode UE in Rel-15 does not assume any association between PDCCH monitoring occasion and SS/PBCH block index and the UE determines PDCCH monitoring occasion according to the search space set configuration. In this case, gNB already has scheduling flexibility for each beam.</w:t>
      </w:r>
      <w:r>
        <w:rPr>
          <w:rFonts w:hint="eastAsia"/>
          <w:sz w:val="22"/>
          <w:szCs w:val="22"/>
        </w:rPr>
        <w:t xml:space="preserve"> </w:t>
      </w:r>
      <w:r>
        <w:rPr>
          <w:sz w:val="22"/>
          <w:szCs w:val="22"/>
        </w:rPr>
        <w:t xml:space="preserve">In IDLE/INACTIVE mode, Rel-15 UE determines PDCCH monitoring occasion </w:t>
      </w:r>
      <w:r w:rsidRPr="00144F85">
        <w:rPr>
          <w:sz w:val="22"/>
          <w:szCs w:val="22"/>
        </w:rPr>
        <w:t xml:space="preserve">based on the association between an actually transmitted SSB and PDCCH monitoring occasions </w:t>
      </w:r>
      <w:r>
        <w:rPr>
          <w:sz w:val="22"/>
          <w:szCs w:val="22"/>
        </w:rPr>
        <w:t xml:space="preserve">within SI window or PO </w:t>
      </w:r>
      <w:r w:rsidRPr="00144F85">
        <w:rPr>
          <w:sz w:val="22"/>
          <w:szCs w:val="22"/>
        </w:rPr>
        <w:t xml:space="preserve">according to </w:t>
      </w:r>
      <w:r>
        <w:rPr>
          <w:sz w:val="22"/>
          <w:szCs w:val="22"/>
        </w:rPr>
        <w:t>Section 5.2.2.3.2</w:t>
      </w:r>
      <w:r w:rsidRPr="00144F85">
        <w:rPr>
          <w:sz w:val="22"/>
          <w:szCs w:val="22"/>
        </w:rPr>
        <w:t xml:space="preserve"> of TS38.331</w:t>
      </w:r>
      <w:r>
        <w:rPr>
          <w:sz w:val="22"/>
          <w:szCs w:val="22"/>
        </w:rPr>
        <w:t xml:space="preserve"> and Section 7.1 of TS38.304.</w:t>
      </w:r>
      <w:r w:rsidR="003C269C">
        <w:rPr>
          <w:sz w:val="22"/>
          <w:szCs w:val="22"/>
        </w:rPr>
        <w:t xml:space="preserve"> For OSI, it is possible to set multiple PDCCH monitoring occasions associated to each SS/PBCH block index within SI window. </w:t>
      </w:r>
      <w:r w:rsidR="007B7266">
        <w:rPr>
          <w:sz w:val="22"/>
          <w:szCs w:val="22"/>
        </w:rPr>
        <w:t>For paging, since each PO contains “S” PDCCH monitoring occasions where “S” is the number of actually transmitted SSBs in Rel-15 specification, there is only one PDCCH monitoring occasion in each PO for each actually transmitted SS/PBCH block index. Therefore, the number of PDCCH monitoring occasions in each PO can be increased for NR-U.</w:t>
      </w:r>
    </w:p>
    <w:p w14:paraId="413E37E8" w14:textId="419BFC84" w:rsidR="007B7266" w:rsidRDefault="007B7266" w:rsidP="007B72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7</w:t>
      </w:r>
      <w:r>
        <w:rPr>
          <w:rFonts w:eastAsia="游明朝" w:hint="eastAsia"/>
          <w:b/>
          <w:sz w:val="22"/>
          <w:szCs w:val="22"/>
        </w:rPr>
        <w:t xml:space="preserve">: </w:t>
      </w:r>
      <w:r>
        <w:rPr>
          <w:rFonts w:eastAsia="游明朝"/>
          <w:b/>
          <w:sz w:val="22"/>
          <w:szCs w:val="22"/>
        </w:rPr>
        <w:t>For paging in NR-U, the number of PDCCH monitoring occasions in each PO can be larger than the number of actually transmitted SSBs indicated in ssb-PositionsInBurst.</w:t>
      </w:r>
    </w:p>
    <w:p w14:paraId="06A3184E" w14:textId="3FB4A79E" w:rsidR="00144F85" w:rsidRPr="007B7266" w:rsidRDefault="00144F85" w:rsidP="005C7976">
      <w:pPr>
        <w:spacing w:afterLines="50" w:after="120"/>
        <w:rPr>
          <w:sz w:val="22"/>
          <w:szCs w:val="22"/>
        </w:rPr>
      </w:pPr>
    </w:p>
    <w:p w14:paraId="108F1C70" w14:textId="77777777" w:rsidR="00144F85" w:rsidRPr="00144F85" w:rsidRDefault="00144F85" w:rsidP="005C7976">
      <w:pPr>
        <w:spacing w:afterLines="50" w:after="120"/>
        <w:rPr>
          <w:sz w:val="22"/>
          <w:szCs w:val="22"/>
        </w:rPr>
      </w:pPr>
    </w:p>
    <w:p w14:paraId="345616E9" w14:textId="3756C2D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RACH procedure</w:t>
      </w:r>
    </w:p>
    <w:p w14:paraId="37D88F43" w14:textId="77777777" w:rsidR="004A55C1" w:rsidRPr="004F49E7" w:rsidRDefault="004A55C1" w:rsidP="004A55C1">
      <w:pPr>
        <w:spacing w:afterLines="50" w:after="120"/>
        <w:rPr>
          <w:sz w:val="22"/>
          <w:szCs w:val="22"/>
          <w:lang w:val="en-US"/>
        </w:rPr>
      </w:pPr>
      <w:r w:rsidRPr="004F49E7">
        <w:rPr>
          <w:sz w:val="22"/>
          <w:szCs w:val="22"/>
          <w:lang w:val="en-US"/>
        </w:rPr>
        <w:t xml:space="preserve">During the NR-U SI, </w:t>
      </w:r>
      <w:r>
        <w:rPr>
          <w:sz w:val="22"/>
          <w:szCs w:val="22"/>
          <w:lang w:val="en-US"/>
        </w:rPr>
        <w:t xml:space="preserve">potential enhancements for </w:t>
      </w:r>
      <w:r w:rsidRPr="004F49E7">
        <w:rPr>
          <w:sz w:val="22"/>
          <w:szCs w:val="22"/>
          <w:lang w:val="en-US"/>
        </w:rPr>
        <w:t xml:space="preserve">NR-U PRACH </w:t>
      </w:r>
      <w:r>
        <w:rPr>
          <w:sz w:val="22"/>
          <w:szCs w:val="22"/>
          <w:lang w:val="en-US"/>
        </w:rPr>
        <w:t>procedure</w:t>
      </w:r>
      <w:r w:rsidRPr="004F49E7">
        <w:rPr>
          <w:sz w:val="22"/>
          <w:szCs w:val="22"/>
          <w:lang w:val="en-US"/>
        </w:rPr>
        <w:t xml:space="preserve"> had been discussed and following is captured in the TR38.889 [2].</w:t>
      </w:r>
    </w:p>
    <w:tbl>
      <w:tblPr>
        <w:tblStyle w:val="afa"/>
        <w:tblW w:w="0" w:type="auto"/>
        <w:tblLook w:val="04A0" w:firstRow="1" w:lastRow="0" w:firstColumn="1" w:lastColumn="0" w:noHBand="0" w:noVBand="1"/>
      </w:tblPr>
      <w:tblGrid>
        <w:gridCol w:w="9962"/>
      </w:tblGrid>
      <w:tr w:rsidR="004A55C1" w14:paraId="79D4FF43" w14:textId="77777777" w:rsidTr="00D96908">
        <w:tc>
          <w:tcPr>
            <w:tcW w:w="9962" w:type="dxa"/>
          </w:tcPr>
          <w:p w14:paraId="09FCDD54" w14:textId="77777777" w:rsidR="004A55C1" w:rsidRPr="004F49E7" w:rsidRDefault="004A55C1" w:rsidP="00D96908">
            <w:pPr>
              <w:rPr>
                <w:sz w:val="20"/>
                <w:lang w:val="en-US" w:eastAsia="x-none"/>
              </w:rPr>
            </w:pPr>
            <w:r w:rsidRPr="004F49E7">
              <w:rPr>
                <w:sz w:val="20"/>
                <w:lang w:val="en-US" w:eastAsia="x-none"/>
              </w:rPr>
              <w:t>For potential RACH resource enhancements, the following options have been identified for NR-U, beyond the flexibility already available in Rel-15</w:t>
            </w:r>
            <w:r w:rsidRPr="004F49E7">
              <w:rPr>
                <w:sz w:val="20"/>
                <w:lang w:eastAsia="x-none"/>
              </w:rPr>
              <w:t>, but consensus was not achieved. These options may be further considered when specifications are developed</w:t>
            </w:r>
            <w:r w:rsidRPr="004F49E7">
              <w:rPr>
                <w:sz w:val="20"/>
                <w:lang w:val="en-US" w:eastAsia="x-none"/>
              </w:rPr>
              <w:t>:</w:t>
            </w:r>
          </w:p>
          <w:p w14:paraId="44C386C7" w14:textId="77777777" w:rsidR="004A55C1" w:rsidRPr="004F49E7" w:rsidRDefault="004A55C1" w:rsidP="00D96908">
            <w:pPr>
              <w:pStyle w:val="B1"/>
              <w:rPr>
                <w:sz w:val="20"/>
              </w:rPr>
            </w:pPr>
            <w:r w:rsidRPr="004F49E7">
              <w:rPr>
                <w:sz w:val="20"/>
              </w:rPr>
              <w:t>-</w:t>
            </w:r>
            <w:r w:rsidRPr="004F49E7">
              <w:rPr>
                <w:sz w:val="20"/>
              </w:rPr>
              <w:tab/>
              <w:t>Frequency-domain enhancement: Multiple PRACH resources across multiple LBT sub-bands/carriers for both contention-free and contention-based RA</w:t>
            </w:r>
          </w:p>
          <w:p w14:paraId="1C166107" w14:textId="77777777" w:rsidR="004A55C1" w:rsidRPr="004F49E7" w:rsidRDefault="004A55C1" w:rsidP="00D96908">
            <w:pPr>
              <w:pStyle w:val="B1"/>
              <w:rPr>
                <w:sz w:val="20"/>
              </w:rPr>
            </w:pPr>
            <w:r w:rsidRPr="004F49E7">
              <w:rPr>
                <w:sz w:val="20"/>
              </w:rPr>
              <w:t>-</w:t>
            </w:r>
            <w:r w:rsidRPr="004F49E7">
              <w:rPr>
                <w:sz w:val="20"/>
              </w:rPr>
              <w:tab/>
              <w:t>Time-domain enhancements:</w:t>
            </w:r>
          </w:p>
          <w:p w14:paraId="21951021" w14:textId="77777777" w:rsidR="004A55C1" w:rsidRPr="004F49E7" w:rsidRDefault="004A55C1" w:rsidP="00D96908">
            <w:pPr>
              <w:pStyle w:val="B2"/>
              <w:rPr>
                <w:sz w:val="20"/>
              </w:rPr>
            </w:pPr>
            <w:r w:rsidRPr="004F49E7">
              <w:rPr>
                <w:sz w:val="20"/>
              </w:rPr>
              <w:t>-</w:t>
            </w:r>
            <w:r w:rsidRPr="004F49E7">
              <w:rPr>
                <w:sz w:val="20"/>
              </w:rPr>
              <w:tab/>
              <w:t xml:space="preserve">For connected mode UE, scheduling of PRACH resources via DCI. </w:t>
            </w:r>
          </w:p>
          <w:p w14:paraId="6E987982" w14:textId="77777777" w:rsidR="004A55C1" w:rsidRPr="004F49E7" w:rsidRDefault="004A55C1" w:rsidP="00D96908">
            <w:pPr>
              <w:pStyle w:val="B3"/>
              <w:rPr>
                <w:sz w:val="20"/>
              </w:rPr>
            </w:pPr>
            <w:r w:rsidRPr="004F49E7">
              <w:rPr>
                <w:sz w:val="20"/>
              </w:rPr>
              <w:t>-</w:t>
            </w:r>
            <w:r w:rsidRPr="004F49E7">
              <w:rPr>
                <w:sz w:val="20"/>
              </w:rPr>
              <w:tab/>
              <w:t>Triggered PRACH within gNB acquired COT can use a new resource indicated by the DCI</w:t>
            </w:r>
          </w:p>
          <w:p w14:paraId="6A7A60EB" w14:textId="77777777" w:rsidR="004A55C1" w:rsidRPr="004F49E7" w:rsidRDefault="004A55C1" w:rsidP="00D96908">
            <w:pPr>
              <w:pStyle w:val="B2"/>
              <w:rPr>
                <w:sz w:val="20"/>
              </w:rPr>
            </w:pPr>
            <w:r w:rsidRPr="004F49E7">
              <w:rPr>
                <w:sz w:val="20"/>
              </w:rPr>
              <w:t>-</w:t>
            </w:r>
            <w:r w:rsidRPr="004F49E7">
              <w:rPr>
                <w:sz w:val="20"/>
              </w:rPr>
              <w:tab/>
              <w:t>For idle mode UE, scheduling of PRACH resources via paging</w:t>
            </w:r>
          </w:p>
          <w:p w14:paraId="73E4F866" w14:textId="77777777" w:rsidR="004A55C1" w:rsidRPr="004F49E7" w:rsidRDefault="004A55C1" w:rsidP="00D96908">
            <w:pPr>
              <w:pStyle w:val="B3"/>
              <w:rPr>
                <w:sz w:val="20"/>
              </w:rPr>
            </w:pPr>
            <w:r w:rsidRPr="004F49E7">
              <w:rPr>
                <w:sz w:val="20"/>
              </w:rPr>
              <w:t>-</w:t>
            </w:r>
            <w:r w:rsidRPr="004F49E7">
              <w:rPr>
                <w:sz w:val="20"/>
              </w:rPr>
              <w:tab/>
              <w:t>Note: potential inefficiency in network resource due to paging across multiple cells</w:t>
            </w:r>
          </w:p>
          <w:p w14:paraId="321A69E0" w14:textId="77777777" w:rsidR="004A55C1" w:rsidRPr="004F49E7" w:rsidRDefault="004A55C1" w:rsidP="00D96908">
            <w:pPr>
              <w:pStyle w:val="B2"/>
              <w:rPr>
                <w:sz w:val="20"/>
              </w:rPr>
            </w:pPr>
            <w:r w:rsidRPr="004F49E7">
              <w:rPr>
                <w:sz w:val="20"/>
              </w:rPr>
              <w:t>-</w:t>
            </w:r>
            <w:r w:rsidRPr="004F49E7">
              <w:rPr>
                <w:sz w:val="20"/>
              </w:rPr>
              <w:tab/>
              <w:t>Additional, new RACH resources are used immediately following detection of DRS transmission</w:t>
            </w:r>
          </w:p>
          <w:p w14:paraId="3A5C83ED" w14:textId="77777777" w:rsidR="004A55C1" w:rsidRPr="004F49E7" w:rsidRDefault="004A55C1" w:rsidP="00D96908">
            <w:pPr>
              <w:pStyle w:val="B2"/>
              <w:rPr>
                <w:sz w:val="20"/>
              </w:rPr>
            </w:pPr>
            <w:r w:rsidRPr="004F49E7">
              <w:rPr>
                <w:sz w:val="20"/>
              </w:rPr>
              <w:t>-</w:t>
            </w:r>
            <w:r w:rsidRPr="004F49E7">
              <w:rPr>
                <w:sz w:val="20"/>
              </w:rPr>
              <w:tab/>
              <w:t>Multiple PRACH transmissions before Msg2 reception in RAR window for initial access</w:t>
            </w:r>
          </w:p>
          <w:p w14:paraId="0A3DF4DE" w14:textId="77777777" w:rsidR="004A55C1" w:rsidRPr="004F49E7" w:rsidRDefault="004A55C1" w:rsidP="00D96908">
            <w:pPr>
              <w:pStyle w:val="B3"/>
              <w:rPr>
                <w:sz w:val="20"/>
              </w:rPr>
            </w:pPr>
            <w:r w:rsidRPr="004F49E7">
              <w:rPr>
                <w:sz w:val="20"/>
              </w:rPr>
              <w:t>-</w:t>
            </w:r>
            <w:r w:rsidRPr="004F49E7">
              <w:rPr>
                <w:sz w:val="20"/>
              </w:rPr>
              <w:tab/>
              <w:t>Number of allowed transmissions is pre-defined or indicated, e.g., in RMSI</w:t>
            </w:r>
          </w:p>
          <w:p w14:paraId="05E78CFE" w14:textId="77777777" w:rsidR="004A55C1" w:rsidRPr="004F49E7" w:rsidRDefault="004A55C1" w:rsidP="00D96908">
            <w:pPr>
              <w:pStyle w:val="B2"/>
              <w:rPr>
                <w:sz w:val="20"/>
              </w:rPr>
            </w:pPr>
            <w:r w:rsidRPr="004F49E7">
              <w:rPr>
                <w:sz w:val="20"/>
              </w:rPr>
              <w:t>-</w:t>
            </w:r>
            <w:r w:rsidRPr="004F49E7">
              <w:rPr>
                <w:sz w:val="20"/>
              </w:rPr>
              <w:tab/>
              <w:t>Group wise SSB-to-RO mapping by frequency first-time second manner, where grouping is in time domain</w:t>
            </w:r>
          </w:p>
          <w:p w14:paraId="1F18A36C" w14:textId="77777777" w:rsidR="004A55C1" w:rsidRPr="004F49E7" w:rsidRDefault="004A55C1" w:rsidP="00D96908">
            <w:pPr>
              <w:rPr>
                <w:sz w:val="20"/>
                <w:lang w:eastAsia="x-none"/>
              </w:rPr>
            </w:pPr>
            <w:r w:rsidRPr="004F49E7">
              <w:rPr>
                <w:sz w:val="20"/>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0F423417" w14:textId="77777777" w:rsidR="004A55C1" w:rsidRPr="004F49E7" w:rsidRDefault="004A55C1" w:rsidP="00D96908">
            <w:pPr>
              <w:rPr>
                <w:sz w:val="20"/>
              </w:rPr>
            </w:pPr>
            <w:r w:rsidRPr="004F49E7">
              <w:rPr>
                <w:sz w:val="20"/>
              </w:rPr>
              <w:t xml:space="preserve">For msg 2 transmission in the 4-step RACH procedure, in some scenarios it is beneficial for the maximum RAR window size to be extended beyond 10 ms to improve robustness to DL LBT failure for RAR transmission. Other candidate mechanisms that were identified without reaching consensus include </w:t>
            </w:r>
            <w:r w:rsidRPr="004F49E7">
              <w:rPr>
                <w:sz w:val="20"/>
                <w:lang w:val="en-US" w:eastAsia="x-none"/>
              </w:rPr>
              <w:t>preconfigured/pre-indicated/scheduled multiple opportunities in time and/or frequency domain in different LBT subbands for message 2/3/4 transmissions and/or reducing the latency of the RACH procedure</w:t>
            </w:r>
            <w:r w:rsidRPr="004F49E7">
              <w:rPr>
                <w:sz w:val="20"/>
              </w:rPr>
              <w:t xml:space="preserve"> and can be considered further when specifications are to be developed.</w:t>
            </w:r>
          </w:p>
        </w:tc>
      </w:tr>
    </w:tbl>
    <w:p w14:paraId="7B51B448" w14:textId="77777777" w:rsidR="004A55C1" w:rsidRDefault="004A55C1" w:rsidP="004A55C1">
      <w:pPr>
        <w:spacing w:afterLines="50" w:after="120"/>
        <w:rPr>
          <w:sz w:val="22"/>
          <w:szCs w:val="22"/>
          <w:lang w:val="en-US"/>
        </w:rPr>
      </w:pPr>
    </w:p>
    <w:p w14:paraId="087E339B" w14:textId="77777777" w:rsidR="004A55C1" w:rsidRPr="00FA6F09" w:rsidRDefault="004A55C1" w:rsidP="004A55C1">
      <w:pPr>
        <w:pStyle w:val="2"/>
        <w:rPr>
          <w:lang w:val="en-US"/>
        </w:rPr>
      </w:pPr>
      <w:r>
        <w:rPr>
          <w:rFonts w:hint="eastAsia"/>
          <w:lang w:val="en-US"/>
        </w:rPr>
        <w:t>3.1</w:t>
      </w:r>
      <w:r>
        <w:rPr>
          <w:rFonts w:hint="eastAsia"/>
          <w:lang w:val="en-US"/>
        </w:rPr>
        <w:tab/>
        <w:t>RACH resour</w:t>
      </w:r>
      <w:r>
        <w:rPr>
          <w:lang w:val="en-US"/>
        </w:rPr>
        <w:t>ce enhancements</w:t>
      </w:r>
    </w:p>
    <w:p w14:paraId="6C8E881D" w14:textId="28AB6D37" w:rsidR="004A55C1" w:rsidRDefault="004A55C1" w:rsidP="004A55C1">
      <w:pPr>
        <w:spacing w:afterLines="50" w:after="120"/>
        <w:rPr>
          <w:sz w:val="22"/>
          <w:szCs w:val="22"/>
          <w:lang w:val="en-US"/>
        </w:rPr>
      </w:pPr>
      <w:r>
        <w:rPr>
          <w:rFonts w:hint="eastAsia"/>
          <w:sz w:val="22"/>
          <w:szCs w:val="22"/>
          <w:lang w:val="en-US"/>
        </w:rPr>
        <w:t xml:space="preserve">Considering LBT failure, RACH resource enhancements are discussed in SI and </w:t>
      </w:r>
      <w:r>
        <w:rPr>
          <w:sz w:val="22"/>
          <w:szCs w:val="22"/>
          <w:lang w:val="en-US"/>
        </w:rPr>
        <w:t xml:space="preserve">RAN1 identified following </w:t>
      </w:r>
      <w:r w:rsidR="00311DCC">
        <w:rPr>
          <w:sz w:val="22"/>
          <w:szCs w:val="22"/>
          <w:lang w:val="en-US"/>
        </w:rPr>
        <w:t>options</w:t>
      </w:r>
      <w:r>
        <w:rPr>
          <w:sz w:val="22"/>
          <w:szCs w:val="22"/>
          <w:lang w:val="en-US"/>
        </w:rPr>
        <w:t>.</w:t>
      </w:r>
      <w:r>
        <w:rPr>
          <w:rFonts w:hint="eastAsia"/>
          <w:sz w:val="22"/>
          <w:szCs w:val="22"/>
          <w:lang w:val="en-US"/>
        </w:rPr>
        <w:t xml:space="preserve"> </w:t>
      </w:r>
    </w:p>
    <w:p w14:paraId="3308B354" w14:textId="625750B8" w:rsidR="004A55C1" w:rsidRPr="00FA6F09" w:rsidRDefault="00311DCC" w:rsidP="004A55C1">
      <w:pPr>
        <w:pStyle w:val="B1"/>
        <w:rPr>
          <w:sz w:val="22"/>
          <w:szCs w:val="22"/>
        </w:rPr>
      </w:pPr>
      <w:r>
        <w:rPr>
          <w:sz w:val="22"/>
          <w:szCs w:val="22"/>
        </w:rPr>
        <w:t>Opt</w:t>
      </w:r>
      <w:r w:rsidR="004A55C1">
        <w:rPr>
          <w:sz w:val="22"/>
          <w:szCs w:val="22"/>
        </w:rPr>
        <w:t xml:space="preserve">. 1: </w:t>
      </w:r>
      <w:r w:rsidR="004A55C1" w:rsidRPr="00FA6F09">
        <w:rPr>
          <w:sz w:val="22"/>
          <w:szCs w:val="22"/>
        </w:rPr>
        <w:t>Frequency-domain enhancement: Multiple PRACH resources across multiple LBT sub-bands/carriers for both contention-free and contention-based RA</w:t>
      </w:r>
    </w:p>
    <w:p w14:paraId="6FD45B7B" w14:textId="4AC09F00" w:rsidR="004A55C1" w:rsidRPr="00FA6F09" w:rsidRDefault="00311DCC" w:rsidP="004A55C1">
      <w:pPr>
        <w:pStyle w:val="B1"/>
        <w:rPr>
          <w:sz w:val="22"/>
          <w:szCs w:val="22"/>
        </w:rPr>
      </w:pPr>
      <w:r>
        <w:rPr>
          <w:sz w:val="22"/>
          <w:szCs w:val="22"/>
        </w:rPr>
        <w:t>Opt</w:t>
      </w:r>
      <w:r w:rsidR="004A55C1">
        <w:rPr>
          <w:sz w:val="22"/>
          <w:szCs w:val="22"/>
        </w:rPr>
        <w:t xml:space="preserve">. 2: </w:t>
      </w:r>
      <w:r w:rsidR="004A55C1" w:rsidRPr="00FA6F09">
        <w:rPr>
          <w:sz w:val="22"/>
          <w:szCs w:val="22"/>
        </w:rPr>
        <w:t>Time-domain enhancements:</w:t>
      </w:r>
    </w:p>
    <w:p w14:paraId="40C65FD7" w14:textId="5AA09C03" w:rsidR="004A55C1" w:rsidRPr="00FA6F09" w:rsidRDefault="00311DCC" w:rsidP="004A55C1">
      <w:pPr>
        <w:pStyle w:val="B2"/>
        <w:rPr>
          <w:sz w:val="22"/>
          <w:szCs w:val="22"/>
        </w:rPr>
      </w:pPr>
      <w:r>
        <w:rPr>
          <w:sz w:val="22"/>
          <w:szCs w:val="22"/>
        </w:rPr>
        <w:t>Opt</w:t>
      </w:r>
      <w:r w:rsidR="004A55C1">
        <w:rPr>
          <w:sz w:val="22"/>
          <w:szCs w:val="22"/>
        </w:rPr>
        <w:t xml:space="preserve">. 2a: </w:t>
      </w:r>
      <w:r w:rsidR="004A55C1" w:rsidRPr="00FA6F09">
        <w:rPr>
          <w:sz w:val="22"/>
          <w:szCs w:val="22"/>
        </w:rPr>
        <w:t xml:space="preserve">For connected mode UE, scheduling of PRACH resources via DCI. </w:t>
      </w:r>
    </w:p>
    <w:p w14:paraId="15579326" w14:textId="5E8E1733" w:rsidR="004A55C1" w:rsidRPr="00FA6F09" w:rsidRDefault="00311DCC" w:rsidP="004A55C1">
      <w:pPr>
        <w:pStyle w:val="B2"/>
        <w:rPr>
          <w:sz w:val="22"/>
          <w:szCs w:val="22"/>
        </w:rPr>
      </w:pPr>
      <w:r>
        <w:rPr>
          <w:sz w:val="22"/>
          <w:szCs w:val="22"/>
        </w:rPr>
        <w:t>Opt</w:t>
      </w:r>
      <w:r w:rsidR="004A55C1">
        <w:rPr>
          <w:sz w:val="22"/>
          <w:szCs w:val="22"/>
        </w:rPr>
        <w:t xml:space="preserve">. 2b: </w:t>
      </w:r>
      <w:r w:rsidR="004A55C1" w:rsidRPr="00FA6F09">
        <w:rPr>
          <w:sz w:val="22"/>
          <w:szCs w:val="22"/>
        </w:rPr>
        <w:t>For idle mode UE, scheduling of PRACH resources via paging</w:t>
      </w:r>
    </w:p>
    <w:p w14:paraId="5BB4DCB0" w14:textId="0C1CDFE3" w:rsidR="004A55C1" w:rsidRPr="00FA6F09" w:rsidRDefault="00311DCC" w:rsidP="004A55C1">
      <w:pPr>
        <w:pStyle w:val="B2"/>
        <w:rPr>
          <w:sz w:val="22"/>
          <w:szCs w:val="22"/>
        </w:rPr>
      </w:pPr>
      <w:r>
        <w:rPr>
          <w:sz w:val="22"/>
          <w:szCs w:val="22"/>
        </w:rPr>
        <w:t>Opt</w:t>
      </w:r>
      <w:r w:rsidR="004A55C1">
        <w:rPr>
          <w:sz w:val="22"/>
          <w:szCs w:val="22"/>
        </w:rPr>
        <w:t xml:space="preserve">. 2c: </w:t>
      </w:r>
      <w:r w:rsidR="004A55C1" w:rsidRPr="00FA6F09">
        <w:rPr>
          <w:sz w:val="22"/>
          <w:szCs w:val="22"/>
        </w:rPr>
        <w:t>Additional, new RACH resources are used immediately following detection of DRS transmission</w:t>
      </w:r>
    </w:p>
    <w:p w14:paraId="44833B81" w14:textId="4AC5D192" w:rsidR="004A55C1" w:rsidRPr="00FA6F09" w:rsidRDefault="00311DCC" w:rsidP="004A55C1">
      <w:pPr>
        <w:pStyle w:val="B2"/>
        <w:rPr>
          <w:sz w:val="22"/>
          <w:szCs w:val="22"/>
        </w:rPr>
      </w:pPr>
      <w:r>
        <w:rPr>
          <w:sz w:val="22"/>
          <w:szCs w:val="22"/>
        </w:rPr>
        <w:t>Opt</w:t>
      </w:r>
      <w:r w:rsidR="004A55C1">
        <w:rPr>
          <w:sz w:val="22"/>
          <w:szCs w:val="22"/>
        </w:rPr>
        <w:t xml:space="preserve">. 2d: </w:t>
      </w:r>
      <w:r w:rsidR="004A55C1" w:rsidRPr="00FA6F09">
        <w:rPr>
          <w:sz w:val="22"/>
          <w:szCs w:val="22"/>
        </w:rPr>
        <w:t>Multiple PRACH transmissions before Msg2 reception in RAR window for initial access</w:t>
      </w:r>
    </w:p>
    <w:p w14:paraId="798EAF75" w14:textId="22059A2B" w:rsidR="004A55C1" w:rsidRPr="00FA6F09" w:rsidRDefault="00311DCC" w:rsidP="004A55C1">
      <w:pPr>
        <w:pStyle w:val="B2"/>
        <w:rPr>
          <w:sz w:val="22"/>
          <w:szCs w:val="22"/>
        </w:rPr>
      </w:pPr>
      <w:r>
        <w:rPr>
          <w:sz w:val="22"/>
          <w:szCs w:val="22"/>
        </w:rPr>
        <w:t>Opt</w:t>
      </w:r>
      <w:r w:rsidR="004A55C1">
        <w:rPr>
          <w:sz w:val="22"/>
          <w:szCs w:val="22"/>
        </w:rPr>
        <w:t xml:space="preserve">. 2e: </w:t>
      </w:r>
      <w:r w:rsidR="004A55C1" w:rsidRPr="00FA6F09">
        <w:rPr>
          <w:sz w:val="22"/>
          <w:szCs w:val="22"/>
        </w:rPr>
        <w:t>Group wise SSB-to-RO mapping by frequency first-time second manner, where grouping is in time domain</w:t>
      </w:r>
    </w:p>
    <w:p w14:paraId="71EE1569" w14:textId="77777777" w:rsidR="004A55C1" w:rsidRDefault="004A55C1" w:rsidP="004A55C1">
      <w:pPr>
        <w:spacing w:afterLines="50" w:after="120"/>
        <w:rPr>
          <w:sz w:val="22"/>
          <w:szCs w:val="22"/>
        </w:rPr>
      </w:pPr>
    </w:p>
    <w:p w14:paraId="55B84B5D" w14:textId="38204092" w:rsidR="004A55C1" w:rsidRDefault="004A55C1" w:rsidP="004A55C1">
      <w:pPr>
        <w:spacing w:afterLines="50" w:after="120"/>
        <w:rPr>
          <w:sz w:val="22"/>
          <w:szCs w:val="22"/>
        </w:rPr>
      </w:pPr>
      <w:r>
        <w:rPr>
          <w:rFonts w:hint="eastAsia"/>
          <w:sz w:val="22"/>
          <w:szCs w:val="22"/>
        </w:rPr>
        <w:t xml:space="preserve">Especially when </w:t>
      </w:r>
      <w:r>
        <w:rPr>
          <w:sz w:val="22"/>
          <w:szCs w:val="22"/>
        </w:rPr>
        <w:t xml:space="preserve">multiple </w:t>
      </w:r>
      <w:r>
        <w:rPr>
          <w:rFonts w:hint="eastAsia"/>
          <w:sz w:val="22"/>
          <w:szCs w:val="22"/>
        </w:rPr>
        <w:t xml:space="preserve">other systems coexist, </w:t>
      </w:r>
      <w:r>
        <w:rPr>
          <w:sz w:val="22"/>
          <w:szCs w:val="22"/>
        </w:rPr>
        <w:t xml:space="preserve">available sub-band(s) may vary every LBT opportunity and it may be difficult to set the PRACH resource appropriately. Additionally, an interference </w:t>
      </w:r>
      <w:r>
        <w:rPr>
          <w:rFonts w:hint="eastAsia"/>
          <w:sz w:val="22"/>
          <w:szCs w:val="22"/>
        </w:rPr>
        <w:t xml:space="preserve">from </w:t>
      </w:r>
      <w:r>
        <w:rPr>
          <w:sz w:val="22"/>
          <w:szCs w:val="22"/>
        </w:rPr>
        <w:t xml:space="preserve">a </w:t>
      </w:r>
      <w:r>
        <w:rPr>
          <w:rFonts w:hint="eastAsia"/>
          <w:sz w:val="22"/>
          <w:szCs w:val="22"/>
        </w:rPr>
        <w:t>hidden node</w:t>
      </w:r>
      <w:r>
        <w:rPr>
          <w:sz w:val="22"/>
          <w:szCs w:val="22"/>
        </w:rPr>
        <w:t xml:space="preserve"> may degrade PRACH detection performance in LBT sub-band(s) where the interference exists. In order to avoid increasing the latency of RACH procedure</w:t>
      </w:r>
      <w:r w:rsidR="00CA7FD3">
        <w:rPr>
          <w:sz w:val="22"/>
          <w:szCs w:val="22"/>
        </w:rPr>
        <w:t xml:space="preserve"> due to such LBT failure and/or PRACH detection failure</w:t>
      </w:r>
      <w:r>
        <w:rPr>
          <w:sz w:val="22"/>
          <w:szCs w:val="22"/>
        </w:rPr>
        <w:t xml:space="preserve">, frequency domain enhancement should be efficient when </w:t>
      </w:r>
      <w:r w:rsidR="00CA7FD3">
        <w:rPr>
          <w:sz w:val="22"/>
          <w:szCs w:val="22"/>
        </w:rPr>
        <w:t xml:space="preserve">NR-U system </w:t>
      </w:r>
      <w:r>
        <w:rPr>
          <w:sz w:val="22"/>
          <w:szCs w:val="22"/>
        </w:rPr>
        <w:t>us</w:t>
      </w:r>
      <w:r w:rsidR="00CA7FD3">
        <w:rPr>
          <w:sz w:val="22"/>
          <w:szCs w:val="22"/>
        </w:rPr>
        <w:t>es</w:t>
      </w:r>
      <w:r>
        <w:rPr>
          <w:sz w:val="22"/>
          <w:szCs w:val="22"/>
        </w:rPr>
        <w:t xml:space="preserve"> multiple </w:t>
      </w:r>
      <w:r w:rsidR="00CA7FD3">
        <w:rPr>
          <w:sz w:val="22"/>
          <w:szCs w:val="22"/>
        </w:rPr>
        <w:t xml:space="preserve">LBT </w:t>
      </w:r>
      <w:r>
        <w:rPr>
          <w:sz w:val="22"/>
          <w:szCs w:val="22"/>
        </w:rPr>
        <w:t xml:space="preserve">sub-bands. </w:t>
      </w:r>
    </w:p>
    <w:p w14:paraId="7ECACF90" w14:textId="086154E9"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 xml:space="preserve">: </w:t>
      </w:r>
      <w:r>
        <w:rPr>
          <w:rFonts w:eastAsia="游明朝"/>
          <w:b/>
          <w:sz w:val="22"/>
          <w:szCs w:val="22"/>
        </w:rPr>
        <w:t>Frequency-domain enhancement of RACH resource</w:t>
      </w:r>
      <w:r w:rsidR="00CA7FD3">
        <w:rPr>
          <w:rFonts w:eastAsia="游明朝"/>
          <w:b/>
          <w:sz w:val="22"/>
          <w:szCs w:val="22"/>
        </w:rPr>
        <w:t>, i.e., multiple PRACH resources across multiple LBT sub-bands for both contention-free and contention-based RA</w:t>
      </w:r>
      <w:r>
        <w:rPr>
          <w:rFonts w:eastAsia="游明朝"/>
          <w:b/>
          <w:sz w:val="22"/>
          <w:szCs w:val="22"/>
        </w:rPr>
        <w:t xml:space="preserve"> is supported for NR-U.</w:t>
      </w:r>
    </w:p>
    <w:p w14:paraId="76542EEB" w14:textId="77777777" w:rsidR="00CA7FD3" w:rsidRDefault="00CA7FD3" w:rsidP="00CA7FD3">
      <w:pPr>
        <w:spacing w:afterLines="50" w:after="120"/>
        <w:rPr>
          <w:sz w:val="22"/>
          <w:szCs w:val="22"/>
        </w:rPr>
      </w:pPr>
    </w:p>
    <w:p w14:paraId="3D39288E" w14:textId="08DEF0DD" w:rsidR="00CA7FD3" w:rsidRDefault="00CA7FD3" w:rsidP="00CA7FD3">
      <w:pPr>
        <w:spacing w:afterLines="50" w:after="120"/>
        <w:rPr>
          <w:sz w:val="22"/>
          <w:szCs w:val="22"/>
        </w:rPr>
      </w:pPr>
      <w:r>
        <w:rPr>
          <w:sz w:val="22"/>
          <w:szCs w:val="22"/>
        </w:rPr>
        <w:t xml:space="preserve">For time-domain enhancement, allocating multiple PRACH resources seems inefficient since some of them may be </w:t>
      </w:r>
      <w:r w:rsidR="008F695B">
        <w:rPr>
          <w:sz w:val="22"/>
          <w:szCs w:val="22"/>
        </w:rPr>
        <w:t>un</w:t>
      </w:r>
      <w:r>
        <w:rPr>
          <w:sz w:val="22"/>
          <w:szCs w:val="22"/>
        </w:rPr>
        <w:t>necessary if PRACH could be transmitted at the first PRCH resource</w:t>
      </w:r>
      <w:r w:rsidR="008F695B">
        <w:rPr>
          <w:sz w:val="22"/>
          <w:szCs w:val="22"/>
        </w:rPr>
        <w:t xml:space="preserve">. Therefore, dynamic scheduling of the PRACH resource e.g., within gNB-initiated COT seems preferable in terms of resource efficiency. </w:t>
      </w:r>
      <w:r w:rsidR="00C46833">
        <w:rPr>
          <w:sz w:val="22"/>
          <w:szCs w:val="22"/>
        </w:rPr>
        <w:t>Opt</w:t>
      </w:r>
      <w:r>
        <w:rPr>
          <w:sz w:val="22"/>
          <w:szCs w:val="22"/>
        </w:rPr>
        <w:t xml:space="preserve">. 2a and </w:t>
      </w:r>
      <w:r w:rsidR="00C46833">
        <w:rPr>
          <w:sz w:val="22"/>
          <w:szCs w:val="22"/>
        </w:rPr>
        <w:t>Opt</w:t>
      </w:r>
      <w:r>
        <w:rPr>
          <w:sz w:val="22"/>
          <w:szCs w:val="22"/>
        </w:rPr>
        <w:t xml:space="preserve">. 2b seem better at this point. Time domain enhancement should be applied in the case </w:t>
      </w:r>
      <w:r w:rsidR="008F695B">
        <w:rPr>
          <w:sz w:val="22"/>
          <w:szCs w:val="22"/>
        </w:rPr>
        <w:t xml:space="preserve">where </w:t>
      </w:r>
      <w:r>
        <w:rPr>
          <w:sz w:val="22"/>
          <w:szCs w:val="22"/>
        </w:rPr>
        <w:t xml:space="preserve">one </w:t>
      </w:r>
      <w:r w:rsidR="008F695B">
        <w:rPr>
          <w:sz w:val="22"/>
          <w:szCs w:val="22"/>
        </w:rPr>
        <w:t xml:space="preserve">LBT </w:t>
      </w:r>
      <w:r>
        <w:rPr>
          <w:sz w:val="22"/>
          <w:szCs w:val="22"/>
        </w:rPr>
        <w:t>sub-band is used.</w:t>
      </w:r>
    </w:p>
    <w:p w14:paraId="4589BB00" w14:textId="201381F5" w:rsidR="004A55C1" w:rsidRDefault="004A55C1" w:rsidP="004A55C1">
      <w:pPr>
        <w:spacing w:afterLines="50" w:after="120"/>
        <w:rPr>
          <w:rFonts w:eastAsia="游明朝"/>
          <w:b/>
          <w:sz w:val="22"/>
          <w:szCs w:val="22"/>
        </w:rPr>
      </w:pPr>
      <w:r w:rsidRPr="0024680E">
        <w:rPr>
          <w:rFonts w:eastAsia="游明朝"/>
          <w:b/>
          <w:sz w:val="22"/>
          <w:szCs w:val="22"/>
          <w:u w:val="single"/>
        </w:rPr>
        <w:t xml:space="preserve">Proposal </w:t>
      </w:r>
      <w:r>
        <w:rPr>
          <w:rFonts w:eastAsia="游明朝"/>
          <w:b/>
          <w:sz w:val="22"/>
          <w:szCs w:val="22"/>
          <w:u w:val="single"/>
        </w:rPr>
        <w:t>9</w:t>
      </w:r>
      <w:r>
        <w:rPr>
          <w:rFonts w:eastAsia="游明朝"/>
          <w:b/>
          <w:sz w:val="22"/>
          <w:szCs w:val="22"/>
        </w:rPr>
        <w:t xml:space="preserve">: </w:t>
      </w:r>
      <w:r w:rsidR="008F695B">
        <w:rPr>
          <w:rFonts w:eastAsia="游明朝"/>
          <w:b/>
          <w:sz w:val="22"/>
          <w:szCs w:val="22"/>
        </w:rPr>
        <w:t xml:space="preserve">The dynamic scheduling of the PRACH resource </w:t>
      </w:r>
      <w:r>
        <w:rPr>
          <w:rFonts w:eastAsia="游明朝"/>
          <w:b/>
          <w:sz w:val="22"/>
          <w:szCs w:val="22"/>
        </w:rPr>
        <w:t xml:space="preserve">should be considered </w:t>
      </w:r>
      <w:r w:rsidR="008F695B">
        <w:rPr>
          <w:rFonts w:eastAsia="游明朝"/>
          <w:b/>
          <w:sz w:val="22"/>
          <w:szCs w:val="22"/>
        </w:rPr>
        <w:t>as</w:t>
      </w:r>
      <w:r>
        <w:rPr>
          <w:rFonts w:eastAsia="游明朝"/>
          <w:b/>
          <w:sz w:val="22"/>
          <w:szCs w:val="22"/>
        </w:rPr>
        <w:t xml:space="preserve"> time-domain enhancement of RACH resource.</w:t>
      </w:r>
    </w:p>
    <w:p w14:paraId="4FD7DA39" w14:textId="77777777" w:rsidR="004A55C1" w:rsidRDefault="004A55C1" w:rsidP="004A55C1">
      <w:pPr>
        <w:spacing w:afterLines="50" w:after="120"/>
        <w:rPr>
          <w:rFonts w:eastAsia="游明朝"/>
          <w:b/>
          <w:sz w:val="22"/>
          <w:szCs w:val="22"/>
        </w:rPr>
      </w:pPr>
    </w:p>
    <w:p w14:paraId="26DB93C7" w14:textId="54FE14F6" w:rsidR="004A55C1" w:rsidRPr="00FA6F09" w:rsidRDefault="004A55C1" w:rsidP="004A55C1">
      <w:pPr>
        <w:pStyle w:val="2"/>
        <w:rPr>
          <w:lang w:val="en-US"/>
        </w:rPr>
      </w:pPr>
      <w:r>
        <w:rPr>
          <w:rFonts w:hint="eastAsia"/>
          <w:lang w:val="en-US"/>
        </w:rPr>
        <w:t>3.</w:t>
      </w:r>
      <w:r>
        <w:rPr>
          <w:lang w:val="en-US"/>
        </w:rPr>
        <w:t>2</w:t>
      </w:r>
      <w:r>
        <w:rPr>
          <w:rFonts w:hint="eastAsia"/>
          <w:lang w:val="en-US"/>
        </w:rPr>
        <w:tab/>
      </w:r>
      <w:r>
        <w:rPr>
          <w:lang w:val="en-US"/>
        </w:rPr>
        <w:t>Msg 2 transmission enhancements</w:t>
      </w:r>
    </w:p>
    <w:p w14:paraId="50C0EF51" w14:textId="32770061" w:rsidR="004A55C1" w:rsidRDefault="004A55C1" w:rsidP="004A55C1">
      <w:pPr>
        <w:spacing w:afterLines="50" w:after="120"/>
        <w:rPr>
          <w:sz w:val="22"/>
          <w:szCs w:val="22"/>
          <w:lang w:val="en-US"/>
        </w:rPr>
      </w:pPr>
      <w:r>
        <w:rPr>
          <w:sz w:val="22"/>
          <w:szCs w:val="22"/>
          <w:lang w:val="en-US"/>
        </w:rPr>
        <w:t xml:space="preserve">For msg 2 transmission enhancement, following </w:t>
      </w:r>
      <w:r w:rsidR="006311EA">
        <w:rPr>
          <w:sz w:val="22"/>
          <w:szCs w:val="22"/>
          <w:lang w:val="en-US"/>
        </w:rPr>
        <w:t>options</w:t>
      </w:r>
      <w:r>
        <w:rPr>
          <w:sz w:val="22"/>
          <w:szCs w:val="22"/>
          <w:lang w:val="en-US"/>
        </w:rPr>
        <w:t xml:space="preserve"> are mentioned in the TR.</w:t>
      </w:r>
    </w:p>
    <w:p w14:paraId="14A9CED8" w14:textId="1A56490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1: 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beyond 10 ms</w:t>
      </w:r>
    </w:p>
    <w:p w14:paraId="5170F4D5" w14:textId="7B3B74F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2a: P</w:t>
      </w:r>
      <w:r w:rsidRPr="00C97D78">
        <w:rPr>
          <w:sz w:val="22"/>
          <w:szCs w:val="22"/>
          <w:lang w:val="en-US"/>
        </w:rPr>
        <w:t>reconfigured/pre-indicated/scheduled</w:t>
      </w:r>
      <w:r>
        <w:rPr>
          <w:sz w:val="22"/>
          <w:szCs w:val="22"/>
          <w:lang w:val="en-US"/>
        </w:rPr>
        <w:t xml:space="preserve"> multiple opportunities in frequency-</w:t>
      </w:r>
      <w:r w:rsidRPr="00C97D78">
        <w:rPr>
          <w:sz w:val="22"/>
          <w:szCs w:val="22"/>
          <w:lang w:val="en-US"/>
        </w:rPr>
        <w:t>domain</w:t>
      </w:r>
    </w:p>
    <w:p w14:paraId="756D6A57" w14:textId="330229A1" w:rsidR="004A55C1" w:rsidRDefault="006311EA" w:rsidP="004A55C1">
      <w:pPr>
        <w:spacing w:afterLines="50" w:after="120"/>
        <w:ind w:firstLineChars="100" w:firstLine="220"/>
        <w:rPr>
          <w:sz w:val="22"/>
          <w:szCs w:val="22"/>
          <w:lang w:val="en-US"/>
        </w:rPr>
      </w:pPr>
      <w:r>
        <w:rPr>
          <w:sz w:val="22"/>
          <w:szCs w:val="22"/>
          <w:lang w:val="en-US"/>
        </w:rPr>
        <w:t>Opt</w:t>
      </w:r>
      <w:r w:rsidR="004A55C1">
        <w:rPr>
          <w:sz w:val="22"/>
          <w:szCs w:val="22"/>
          <w:lang w:val="en-US"/>
        </w:rPr>
        <w:t>. 2b: P</w:t>
      </w:r>
      <w:r w:rsidR="004A55C1" w:rsidRPr="00C97D78">
        <w:rPr>
          <w:sz w:val="22"/>
          <w:szCs w:val="22"/>
          <w:lang w:val="en-US"/>
        </w:rPr>
        <w:t>reconfigured/pre-indicated/scheduled</w:t>
      </w:r>
      <w:r w:rsidR="004A55C1">
        <w:rPr>
          <w:sz w:val="22"/>
          <w:szCs w:val="22"/>
          <w:lang w:val="en-US"/>
        </w:rPr>
        <w:t xml:space="preserve"> multiple opportunities in time-</w:t>
      </w:r>
      <w:r w:rsidR="004A55C1" w:rsidRPr="00C97D78">
        <w:rPr>
          <w:sz w:val="22"/>
          <w:szCs w:val="22"/>
          <w:lang w:val="en-US"/>
        </w:rPr>
        <w:t>domain</w:t>
      </w:r>
    </w:p>
    <w:p w14:paraId="01957914" w14:textId="77777777" w:rsidR="004A55C1" w:rsidRPr="00C97D78" w:rsidRDefault="004A55C1" w:rsidP="004A55C1">
      <w:pPr>
        <w:spacing w:afterLines="50" w:after="120"/>
        <w:ind w:firstLineChars="100" w:firstLine="220"/>
        <w:rPr>
          <w:sz w:val="22"/>
          <w:szCs w:val="22"/>
          <w:lang w:val="en-US"/>
        </w:rPr>
      </w:pPr>
    </w:p>
    <w:p w14:paraId="5E52B647" w14:textId="55D7F35C" w:rsidR="004A55C1" w:rsidRDefault="004A55C1" w:rsidP="004A55C1">
      <w:pPr>
        <w:spacing w:afterLines="50" w:after="120"/>
        <w:rPr>
          <w:sz w:val="22"/>
          <w:szCs w:val="22"/>
          <w:lang w:val="en-US"/>
        </w:rPr>
      </w:pPr>
      <w:r>
        <w:rPr>
          <w:sz w:val="22"/>
          <w:szCs w:val="22"/>
          <w:lang w:val="en-US"/>
        </w:rPr>
        <w:t>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beyond 10 ms</w:t>
      </w:r>
      <w:r>
        <w:rPr>
          <w:sz w:val="22"/>
          <w:szCs w:val="22"/>
          <w:lang w:val="en-US"/>
        </w:rPr>
        <w:t xml:space="preserve"> is </w:t>
      </w:r>
      <w:r w:rsidR="00443BEA">
        <w:rPr>
          <w:sz w:val="22"/>
          <w:szCs w:val="22"/>
          <w:lang w:val="en-US"/>
        </w:rPr>
        <w:t>a reasonable</w:t>
      </w:r>
      <w:r>
        <w:rPr>
          <w:sz w:val="22"/>
          <w:szCs w:val="22"/>
          <w:lang w:val="en-US"/>
        </w:rPr>
        <w:t xml:space="preserve"> way </w:t>
      </w:r>
      <w:r w:rsidR="00443BEA">
        <w:rPr>
          <w:sz w:val="22"/>
          <w:szCs w:val="22"/>
          <w:lang w:val="en-US"/>
        </w:rPr>
        <w:t>to avoid</w:t>
      </w:r>
      <w:r>
        <w:rPr>
          <w:sz w:val="22"/>
          <w:szCs w:val="22"/>
          <w:lang w:val="en-US"/>
        </w:rPr>
        <w:t xml:space="preserve"> </w:t>
      </w:r>
      <w:r w:rsidR="00C46833">
        <w:rPr>
          <w:sz w:val="22"/>
          <w:szCs w:val="22"/>
          <w:lang w:val="en-US"/>
        </w:rPr>
        <w:t xml:space="preserve">increasing RACH procedure latency </w:t>
      </w:r>
      <w:r w:rsidR="00443BEA">
        <w:rPr>
          <w:sz w:val="22"/>
          <w:szCs w:val="22"/>
          <w:lang w:val="en-US"/>
        </w:rPr>
        <w:t>due to</w:t>
      </w:r>
      <w:r w:rsidR="00C46833">
        <w:rPr>
          <w:sz w:val="22"/>
          <w:szCs w:val="22"/>
          <w:lang w:val="en-US"/>
        </w:rPr>
        <w:t xml:space="preserve"> </w:t>
      </w:r>
      <w:r w:rsidR="00443BEA">
        <w:rPr>
          <w:sz w:val="22"/>
          <w:szCs w:val="22"/>
          <w:lang w:val="en-US"/>
        </w:rPr>
        <w:t xml:space="preserve">msg 2 transmission </w:t>
      </w:r>
      <w:r w:rsidR="00C46833">
        <w:rPr>
          <w:sz w:val="22"/>
          <w:szCs w:val="22"/>
          <w:lang w:val="en-US"/>
        </w:rPr>
        <w:t>failure</w:t>
      </w:r>
      <w:r w:rsidR="00443BEA">
        <w:rPr>
          <w:sz w:val="22"/>
          <w:szCs w:val="22"/>
          <w:lang w:val="en-US"/>
        </w:rPr>
        <w:t xml:space="preserve"> in RAR window when the channel is busy</w:t>
      </w:r>
      <w:r>
        <w:rPr>
          <w:sz w:val="22"/>
          <w:szCs w:val="22"/>
          <w:lang w:val="en-US"/>
        </w:rPr>
        <w:t>. Additionally,</w:t>
      </w:r>
      <w:r w:rsidR="00574D4E">
        <w:rPr>
          <w:sz w:val="22"/>
          <w:szCs w:val="22"/>
          <w:lang w:val="en-US"/>
        </w:rPr>
        <w:t xml:space="preserve"> multiple opportunities</w:t>
      </w:r>
      <w:r>
        <w:rPr>
          <w:sz w:val="22"/>
          <w:szCs w:val="22"/>
          <w:lang w:val="en-US"/>
        </w:rPr>
        <w:t xml:space="preserve"> in frequency-domain seems better to </w:t>
      </w:r>
      <w:r w:rsidR="00574D4E">
        <w:rPr>
          <w:sz w:val="22"/>
          <w:szCs w:val="22"/>
          <w:lang w:val="en-US"/>
        </w:rPr>
        <w:t xml:space="preserve">be </w:t>
      </w:r>
      <w:r>
        <w:rPr>
          <w:sz w:val="22"/>
          <w:szCs w:val="22"/>
          <w:lang w:val="en-US"/>
        </w:rPr>
        <w:t>support</w:t>
      </w:r>
      <w:r w:rsidR="00574D4E">
        <w:rPr>
          <w:sz w:val="22"/>
          <w:szCs w:val="22"/>
          <w:lang w:val="en-US"/>
        </w:rPr>
        <w:t>ed</w:t>
      </w:r>
      <w:r>
        <w:rPr>
          <w:sz w:val="22"/>
          <w:szCs w:val="22"/>
          <w:lang w:val="en-US"/>
        </w:rPr>
        <w:t xml:space="preserve"> </w:t>
      </w:r>
      <w:r w:rsidR="00574D4E">
        <w:rPr>
          <w:sz w:val="22"/>
          <w:szCs w:val="22"/>
          <w:lang w:val="en-US"/>
        </w:rPr>
        <w:t>because of</w:t>
      </w:r>
      <w:r w:rsidRPr="00C97D78">
        <w:rPr>
          <w:sz w:val="22"/>
          <w:szCs w:val="22"/>
          <w:lang w:val="en-US"/>
        </w:rPr>
        <w:t xml:space="preserve"> the same reason</w:t>
      </w:r>
      <w:r>
        <w:rPr>
          <w:sz w:val="22"/>
          <w:szCs w:val="22"/>
          <w:lang w:val="en-US"/>
        </w:rPr>
        <w:t xml:space="preserve"> for msg 1 enhancement</w:t>
      </w:r>
      <w:r w:rsidR="00574D4E">
        <w:rPr>
          <w:sz w:val="22"/>
          <w:szCs w:val="22"/>
          <w:lang w:val="en-US"/>
        </w:rPr>
        <w:t>.</w:t>
      </w:r>
      <w:r>
        <w:rPr>
          <w:sz w:val="22"/>
          <w:szCs w:val="22"/>
          <w:lang w:val="en-US"/>
        </w:rPr>
        <w:t xml:space="preserve"> </w:t>
      </w:r>
      <w:r w:rsidR="00574D4E">
        <w:rPr>
          <w:sz w:val="22"/>
          <w:szCs w:val="22"/>
          <w:lang w:val="en-US"/>
        </w:rPr>
        <w:t>On the other hand,</w:t>
      </w:r>
      <w:r>
        <w:rPr>
          <w:sz w:val="22"/>
          <w:szCs w:val="22"/>
          <w:lang w:val="en-US"/>
        </w:rPr>
        <w:t xml:space="preserve"> time-domain enhancement seems not </w:t>
      </w:r>
      <w:r w:rsidR="00443BEA">
        <w:rPr>
          <w:sz w:val="22"/>
          <w:szCs w:val="22"/>
          <w:lang w:val="en-US"/>
        </w:rPr>
        <w:t>necessary</w:t>
      </w:r>
      <w:r>
        <w:rPr>
          <w:sz w:val="22"/>
          <w:szCs w:val="22"/>
          <w:lang w:val="en-US"/>
        </w:rPr>
        <w:t xml:space="preserve"> as long as the maximum RAR window size is extended.</w:t>
      </w:r>
    </w:p>
    <w:p w14:paraId="58AFD14E" w14:textId="4B4098D3" w:rsidR="004A55C1" w:rsidRDefault="004A55C1" w:rsidP="004A55C1">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10</w:t>
      </w:r>
      <w:r>
        <w:rPr>
          <w:rFonts w:eastAsia="游明朝"/>
          <w:b/>
          <w:sz w:val="22"/>
          <w:szCs w:val="22"/>
        </w:rPr>
        <w:t xml:space="preserve">: </w:t>
      </w:r>
      <w:r w:rsidRPr="0052715B">
        <w:rPr>
          <w:rFonts w:eastAsia="游明朝"/>
          <w:b/>
          <w:sz w:val="22"/>
          <w:szCs w:val="22"/>
        </w:rPr>
        <w:t xml:space="preserve">The maximum RAR window size extension beyond 10 ms </w:t>
      </w:r>
      <w:r>
        <w:rPr>
          <w:b/>
          <w:sz w:val="22"/>
          <w:szCs w:val="22"/>
          <w:lang w:val="en-US"/>
        </w:rPr>
        <w:t>is</w:t>
      </w:r>
      <w:r w:rsidRPr="0052715B">
        <w:rPr>
          <w:b/>
          <w:sz w:val="22"/>
          <w:szCs w:val="22"/>
          <w:lang w:val="en-US"/>
        </w:rPr>
        <w:t xml:space="preserve"> supported for NR-U.</w:t>
      </w:r>
    </w:p>
    <w:p w14:paraId="6BFD85DC" w14:textId="0833BCA2"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11</w:t>
      </w:r>
      <w:r>
        <w:rPr>
          <w:rFonts w:eastAsia="游明朝" w:hint="eastAsia"/>
          <w:b/>
          <w:sz w:val="22"/>
          <w:szCs w:val="22"/>
        </w:rPr>
        <w:t xml:space="preserve">: </w:t>
      </w:r>
      <w:r>
        <w:rPr>
          <w:rFonts w:eastAsia="游明朝"/>
          <w:b/>
          <w:sz w:val="22"/>
          <w:szCs w:val="22"/>
        </w:rPr>
        <w:t xml:space="preserve">Frequency-domain enhancement of msg 2 </w:t>
      </w:r>
      <w:r w:rsidR="00574D4E">
        <w:rPr>
          <w:rFonts w:eastAsia="游明朝"/>
          <w:b/>
          <w:sz w:val="22"/>
          <w:szCs w:val="22"/>
        </w:rPr>
        <w:t xml:space="preserve">transmission </w:t>
      </w:r>
      <w:r>
        <w:rPr>
          <w:rFonts w:eastAsia="游明朝"/>
          <w:b/>
          <w:sz w:val="22"/>
          <w:szCs w:val="22"/>
        </w:rPr>
        <w:t>is supported for NR-U.</w:t>
      </w:r>
    </w:p>
    <w:p w14:paraId="7AB7F33B" w14:textId="0C57C207" w:rsidR="00484F06" w:rsidRPr="004A55C1" w:rsidRDefault="00484F06" w:rsidP="00C517C8">
      <w:pPr>
        <w:spacing w:afterLines="50" w:after="120"/>
        <w:rPr>
          <w:sz w:val="22"/>
          <w:szCs w:val="22"/>
        </w:rPr>
      </w:pPr>
    </w:p>
    <w:p w14:paraId="1DBB2E7B" w14:textId="77777777" w:rsidR="00EA4CFF" w:rsidRPr="00EA4CFF" w:rsidRDefault="00EA4CFF" w:rsidP="00C517C8">
      <w:pPr>
        <w:spacing w:afterLines="50" w:after="120"/>
        <w:rPr>
          <w:sz w:val="22"/>
          <w:szCs w:val="22"/>
          <w:lang w:val="en-US"/>
        </w:rPr>
      </w:pPr>
    </w:p>
    <w:p w14:paraId="221E3290" w14:textId="1D6B8331" w:rsidR="00EA4CFF" w:rsidRPr="009517C5" w:rsidRDefault="00EA4CFF" w:rsidP="00EA4CFF">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4D4C1311" w14:textId="746FFC95" w:rsidR="00EA4CFF" w:rsidRDefault="00EA4CFF" w:rsidP="00EA4CFF">
      <w:pPr>
        <w:spacing w:afterLines="50" w:after="120"/>
        <w:rPr>
          <w:sz w:val="22"/>
          <w:szCs w:val="22"/>
          <w:lang w:val="en-US"/>
        </w:rPr>
      </w:pPr>
      <w:r>
        <w:rPr>
          <w:sz w:val="22"/>
          <w:szCs w:val="22"/>
          <w:lang w:val="en-US"/>
        </w:rPr>
        <w:t>During the NR-U SI, possible modifications to RRM/RLM procedures due to reduced transmission opportunities for DL signals and channels due to LBT failure had been discussed and following is captured in the TR38.889 [2].</w:t>
      </w:r>
    </w:p>
    <w:tbl>
      <w:tblPr>
        <w:tblStyle w:val="afa"/>
        <w:tblW w:w="0" w:type="auto"/>
        <w:tblLook w:val="04A0" w:firstRow="1" w:lastRow="0" w:firstColumn="1" w:lastColumn="0" w:noHBand="0" w:noVBand="1"/>
      </w:tblPr>
      <w:tblGrid>
        <w:gridCol w:w="9962"/>
      </w:tblGrid>
      <w:tr w:rsidR="00EA4CFF" w14:paraId="0D4D1BED" w14:textId="77777777" w:rsidTr="00655EA7">
        <w:tc>
          <w:tcPr>
            <w:tcW w:w="9962" w:type="dxa"/>
          </w:tcPr>
          <w:p w14:paraId="5AFD9BB4" w14:textId="77777777" w:rsidR="00EA4CFF" w:rsidRPr="00EA4CFF" w:rsidRDefault="00EA4CFF" w:rsidP="00EA4CFF">
            <w:pPr>
              <w:rPr>
                <w:rFonts w:eastAsia="SimSun"/>
                <w:sz w:val="20"/>
                <w:lang w:val="en-US" w:eastAsia="x-none"/>
              </w:rPr>
            </w:pPr>
            <w:r w:rsidRPr="00EA4CFF">
              <w:rPr>
                <w:rFonts w:eastAsia="SimSun"/>
                <w:sz w:val="20"/>
                <w:lang w:eastAsia="x-none"/>
              </w:rPr>
              <w:t xml:space="preserve">For RLM on an unlicensed SpCell and RRM,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w:t>
            </w:r>
            <w:r w:rsidRPr="00EA4CFF">
              <w:rPr>
                <w:rFonts w:eastAsia="SimSun"/>
                <w:sz w:val="20"/>
                <w:lang w:val="en-US" w:eastAsia="x-none"/>
              </w:rPr>
              <w:t>For RLM, the following recommendations are considered beneficial for further design when the specifications are developed:</w:t>
            </w:r>
          </w:p>
          <w:p w14:paraId="4E4B2587" w14:textId="77777777" w:rsidR="00EA4CFF" w:rsidRPr="00EA4CFF" w:rsidRDefault="00EA4CFF" w:rsidP="00EA4CFF">
            <w:pPr>
              <w:ind w:left="568" w:hanging="284"/>
              <w:rPr>
                <w:rFonts w:eastAsia="SimSun"/>
                <w:sz w:val="20"/>
                <w:lang w:eastAsia="x-none"/>
              </w:rPr>
            </w:pPr>
            <w:r w:rsidRPr="00EA4CFF">
              <w:rPr>
                <w:rFonts w:eastAsia="SimSun"/>
                <w:sz w:val="20"/>
                <w:lang w:eastAsia="x-none"/>
              </w:rPr>
              <w:t>-</w:t>
            </w:r>
            <w:r w:rsidRPr="00EA4CFF">
              <w:rPr>
                <w:rFonts w:eastAsia="SimSun"/>
                <w:sz w:val="20"/>
                <w:lang w:eastAsia="x-none"/>
              </w:rPr>
              <w:tab/>
              <w:t>Identifying a set of RLM-RS, e.g., DRS, SS/PBCH blocks, CSI-RS. The transmission of the RS in a COT may be subject to LBT.</w:t>
            </w:r>
          </w:p>
          <w:p w14:paraId="33EB7D6B" w14:textId="77777777" w:rsidR="00EA4CFF" w:rsidRPr="00EA4CFF" w:rsidRDefault="00EA4CFF" w:rsidP="00EA4CFF">
            <w:pPr>
              <w:ind w:left="568" w:hanging="284"/>
              <w:rPr>
                <w:rFonts w:eastAsia="SimSun"/>
                <w:sz w:val="20"/>
                <w:lang w:eastAsia="x-none"/>
              </w:rPr>
            </w:pPr>
            <w:r w:rsidRPr="00EA4CFF">
              <w:rPr>
                <w:rFonts w:eastAsia="SimSun"/>
                <w:sz w:val="20"/>
                <w:lang w:eastAsia="x-none"/>
              </w:rPr>
              <w:t>-</w:t>
            </w:r>
            <w:r w:rsidRPr="00EA4CFF">
              <w:rPr>
                <w:rFonts w:eastAsia="SimSun"/>
                <w:sz w:val="20"/>
                <w:lang w:eastAsia="x-none"/>
              </w:rPr>
              <w:tab/>
              <w:t>Identifying which set(s) of RLM-RS are used for in-sync and out-of-sync evaluations. For example, determining which RLM-RS within or outside the RLM measurement window can be utilized for in-sync and out-of-sync evaluations.</w:t>
            </w:r>
          </w:p>
          <w:p w14:paraId="6C372F63" w14:textId="77777777" w:rsidR="00EA4CFF" w:rsidRPr="00EA4CFF" w:rsidRDefault="00EA4CFF" w:rsidP="00EA4CFF">
            <w:pPr>
              <w:ind w:left="568" w:hanging="284"/>
              <w:rPr>
                <w:rFonts w:eastAsia="SimSun"/>
                <w:sz w:val="20"/>
                <w:lang w:eastAsia="x-none"/>
              </w:rPr>
            </w:pPr>
            <w:r w:rsidRPr="00EA4CFF">
              <w:rPr>
                <w:rFonts w:eastAsia="SimSun"/>
                <w:sz w:val="20"/>
                <w:lang w:eastAsia="x-none"/>
              </w:rPr>
              <w:t>-</w:t>
            </w:r>
            <w:r w:rsidRPr="00EA4CFF">
              <w:rPr>
                <w:rFonts w:eastAsia="SimSun"/>
                <w:sz w:val="20"/>
                <w:lang w:eastAsia="x-none"/>
              </w:rPr>
              <w:tab/>
              <w:t>Potential definition of a metric, e.g., Rel-15 out-of-sync indication or new metric, to accurately identify instances of unsuccessful detection of RLM-RS. Whether/how to report such a metric to higher layers is determined when the specifications are developed.</w:t>
            </w:r>
          </w:p>
          <w:p w14:paraId="40A822D5" w14:textId="23AD389A" w:rsidR="00EA4CFF" w:rsidRPr="00EA4CFF" w:rsidRDefault="00EA4CFF" w:rsidP="00655EA7">
            <w:pPr>
              <w:rPr>
                <w:rFonts w:eastAsia="SimSun"/>
                <w:sz w:val="20"/>
                <w:lang w:val="en-US" w:eastAsia="x-none"/>
              </w:rPr>
            </w:pPr>
            <w:r w:rsidRPr="00EA4CFF">
              <w:rPr>
                <w:rFonts w:eastAsia="SimSun"/>
                <w:sz w:val="20"/>
                <w:lang w:eastAsia="en-US"/>
              </w:rPr>
              <w:t xml:space="preserve">It is beneficial to support reporting of RSSI. Furthermore, </w:t>
            </w:r>
            <w:r w:rsidRPr="00EA4CFF">
              <w:rPr>
                <w:rFonts w:eastAsia="SimSun"/>
                <w:sz w:val="20"/>
                <w:lang w:val="en-US" w:eastAsia="en-US"/>
              </w:rPr>
              <w:t>it is considered beneficial to report a metric to represent channel occupancy or medium contention in addition to RSSI, as also noted from a higher-layer perspective in Section 7.2.2.3.1. The exact definition of the metric(s) can be considered when specifications are developed.</w:t>
            </w:r>
          </w:p>
        </w:tc>
      </w:tr>
    </w:tbl>
    <w:p w14:paraId="1FED9BA1" w14:textId="6A0E57D0" w:rsidR="00BB00D9" w:rsidRDefault="00BB00D9" w:rsidP="00C517C8">
      <w:pPr>
        <w:spacing w:afterLines="50" w:after="120"/>
        <w:rPr>
          <w:sz w:val="22"/>
          <w:szCs w:val="22"/>
        </w:rPr>
      </w:pPr>
    </w:p>
    <w:p w14:paraId="434BA5CC" w14:textId="5B2C658A" w:rsidR="004F2ACC" w:rsidRDefault="004F2ACC" w:rsidP="004F2ACC">
      <w:pPr>
        <w:pStyle w:val="2"/>
        <w:rPr>
          <w:sz w:val="22"/>
          <w:szCs w:val="22"/>
        </w:rPr>
      </w:pPr>
      <w:r>
        <w:rPr>
          <w:rFonts w:hint="eastAsia"/>
          <w:sz w:val="22"/>
          <w:szCs w:val="22"/>
        </w:rPr>
        <w:t>4.1</w:t>
      </w:r>
      <w:r>
        <w:rPr>
          <w:rFonts w:hint="eastAsia"/>
          <w:sz w:val="22"/>
          <w:szCs w:val="22"/>
        </w:rPr>
        <w:tab/>
        <w:t>Measurement window configuration for RRM/RLM</w:t>
      </w:r>
    </w:p>
    <w:p w14:paraId="41AE370D" w14:textId="0F1A488C" w:rsidR="009B5D91" w:rsidRDefault="009B5D91" w:rsidP="00C517C8">
      <w:pPr>
        <w:spacing w:afterLines="50" w:after="120"/>
        <w:rPr>
          <w:sz w:val="22"/>
          <w:szCs w:val="22"/>
        </w:rPr>
      </w:pPr>
      <w:r>
        <w:rPr>
          <w:rFonts w:hint="eastAsia"/>
          <w:sz w:val="22"/>
          <w:szCs w:val="22"/>
        </w:rPr>
        <w:t xml:space="preserve">In Rel-15, SS/PBCH block based RRM/RLM procedures are defined. </w:t>
      </w:r>
      <w:r>
        <w:rPr>
          <w:sz w:val="22"/>
          <w:szCs w:val="22"/>
        </w:rPr>
        <w:t>RRM measurement based on SS/PBCH block is performed within a configured SMTC window. SMTC window periodicity can be same or longer than the SS/PBCH block transmission periodicity. RLM based on SS/PBCH block is performed according to the SS/PBCH block transmission periodicity. CSI-RS based RRM/RLM procedures are also defined in Rel-15. The periodicity and timing of CSI-RS resource are configured for each CSI-RS resource to be measured.</w:t>
      </w:r>
    </w:p>
    <w:p w14:paraId="0565FE06" w14:textId="4C9F99DB" w:rsidR="009B5D91" w:rsidRDefault="009B5D91" w:rsidP="00C517C8">
      <w:pPr>
        <w:spacing w:afterLines="50" w:after="120"/>
        <w:rPr>
          <w:sz w:val="22"/>
          <w:szCs w:val="22"/>
        </w:rPr>
      </w:pPr>
      <w:r>
        <w:rPr>
          <w:sz w:val="22"/>
          <w:szCs w:val="22"/>
        </w:rPr>
        <w:t xml:space="preserve">For DRS based RRM/RLM in NR-U, DRS transmission timing and periodicity need to be configured. The DRS transmission window discussed in Section 2 contains candidate DRS resources and actual DRS transmission timing within the DRS transmission window would be changed according to LBT results. </w:t>
      </w:r>
      <w:r w:rsidR="00B27D4B">
        <w:rPr>
          <w:sz w:val="22"/>
          <w:szCs w:val="22"/>
        </w:rPr>
        <w:t>Therefore, DRS transmission window configuration including periodicity, offset and potentially duration should be used for RLM procedure, i.e., DRS transmission window configuration is the RLM DMTC.</w:t>
      </w:r>
      <w:r w:rsidR="006D3F03">
        <w:rPr>
          <w:sz w:val="22"/>
          <w:szCs w:val="22"/>
        </w:rPr>
        <w:t xml:space="preserve"> The actual resource to be monitored for RLM is determined based on RLM-RS configuration or PDCCH TCI state configuration, and it may be changed to different resource with same QCL assumption in different periods due to LBT failure.</w:t>
      </w:r>
    </w:p>
    <w:p w14:paraId="769F6C07" w14:textId="43D84E7F"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12</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24BC5F4B" w14:textId="56B4E78E" w:rsidR="006D3F03" w:rsidRPr="006D3F03" w:rsidRDefault="006D3F03" w:rsidP="006D3F03">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71CBB3B3" w14:textId="439DF5E5" w:rsidR="00B27D4B" w:rsidRPr="006D3F03" w:rsidRDefault="00B27D4B" w:rsidP="00C517C8">
      <w:pPr>
        <w:spacing w:afterLines="50" w:after="120"/>
        <w:rPr>
          <w:sz w:val="22"/>
          <w:szCs w:val="22"/>
        </w:rPr>
      </w:pPr>
    </w:p>
    <w:p w14:paraId="1DEF34F3" w14:textId="23ACB925" w:rsidR="006D3F03" w:rsidRDefault="006D3F03" w:rsidP="00C517C8">
      <w:pPr>
        <w:spacing w:afterLines="50" w:after="120"/>
        <w:rPr>
          <w:sz w:val="22"/>
          <w:szCs w:val="22"/>
        </w:rPr>
      </w:pPr>
      <w:r>
        <w:rPr>
          <w:rFonts w:hint="eastAsia"/>
          <w:sz w:val="22"/>
          <w:szCs w:val="22"/>
        </w:rPr>
        <w:t>Same as Rel-15, RRM measurement periodicity can be longer than the RS transmission periodicity, i.e.,</w:t>
      </w:r>
      <w:r>
        <w:rPr>
          <w:sz w:val="22"/>
          <w:szCs w:val="22"/>
        </w:rPr>
        <w:t xml:space="preserve"> RLM measurement periodicity. </w:t>
      </w:r>
      <w:r w:rsidR="000C701C">
        <w:rPr>
          <w:sz w:val="22"/>
          <w:szCs w:val="22"/>
        </w:rPr>
        <w:t>So, the RRM DMTC for DRS based RRM measurement should be separately configured from the DRS transmission window configuration, i.e., RLM DMTC.</w:t>
      </w:r>
    </w:p>
    <w:p w14:paraId="277CD69A" w14:textId="5C482817"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13</w:t>
      </w:r>
      <w:r>
        <w:rPr>
          <w:rFonts w:eastAsia="游明朝" w:hint="eastAsia"/>
          <w:b/>
          <w:sz w:val="22"/>
          <w:szCs w:val="22"/>
        </w:rPr>
        <w:t xml:space="preserve">: </w:t>
      </w:r>
      <w:r>
        <w:rPr>
          <w:rFonts w:eastAsia="游明朝"/>
          <w:b/>
          <w:sz w:val="22"/>
          <w:szCs w:val="22"/>
        </w:rPr>
        <w:t>The RRM DMTC for DR</w:t>
      </w:r>
      <w:r w:rsidR="00EC7FEE">
        <w:rPr>
          <w:rFonts w:eastAsia="游明朝"/>
          <w:b/>
          <w:sz w:val="22"/>
          <w:szCs w:val="22"/>
        </w:rPr>
        <w:t>S based RRM measurement is separately configured from the DRS transmission window configuration</w:t>
      </w:r>
      <w:r>
        <w:rPr>
          <w:rFonts w:eastAsia="游明朝"/>
          <w:b/>
          <w:sz w:val="22"/>
          <w:szCs w:val="22"/>
        </w:rPr>
        <w:t>.</w:t>
      </w:r>
    </w:p>
    <w:p w14:paraId="18468E4D" w14:textId="2A2C7E69" w:rsidR="006D3F03" w:rsidRDefault="006D3F03" w:rsidP="00C517C8">
      <w:pPr>
        <w:spacing w:afterLines="50" w:after="120"/>
        <w:rPr>
          <w:sz w:val="22"/>
          <w:szCs w:val="22"/>
        </w:rPr>
      </w:pPr>
    </w:p>
    <w:p w14:paraId="07FA4CA1" w14:textId="114EE08A" w:rsidR="00EC7FEE" w:rsidRDefault="00EC7FEE" w:rsidP="00C517C8">
      <w:pPr>
        <w:spacing w:afterLines="50" w:after="120"/>
        <w:rPr>
          <w:sz w:val="22"/>
          <w:szCs w:val="22"/>
        </w:rPr>
      </w:pPr>
    </w:p>
    <w:p w14:paraId="4021A906" w14:textId="66F854C0" w:rsidR="000C701C" w:rsidRPr="006D3F03" w:rsidRDefault="004F2ACC" w:rsidP="004F2ACC">
      <w:pPr>
        <w:pStyle w:val="2"/>
        <w:rPr>
          <w:sz w:val="22"/>
          <w:szCs w:val="22"/>
        </w:rPr>
      </w:pPr>
      <w:r>
        <w:rPr>
          <w:rFonts w:hint="eastAsia"/>
          <w:sz w:val="22"/>
          <w:szCs w:val="22"/>
        </w:rPr>
        <w:t>4.2</w:t>
      </w:r>
      <w:r>
        <w:rPr>
          <w:rFonts w:hint="eastAsia"/>
          <w:sz w:val="22"/>
          <w:szCs w:val="22"/>
        </w:rPr>
        <w:tab/>
        <w:t>RSSI</w:t>
      </w:r>
      <w:r>
        <w:rPr>
          <w:sz w:val="22"/>
          <w:szCs w:val="22"/>
        </w:rPr>
        <w:t xml:space="preserve"> and channel occupancy measurement/reporting</w:t>
      </w:r>
    </w:p>
    <w:p w14:paraId="154836CC" w14:textId="0141FAFA" w:rsidR="00757345" w:rsidRDefault="00341F38" w:rsidP="004F2ACC">
      <w:pPr>
        <w:spacing w:afterLines="50" w:after="120"/>
        <w:rPr>
          <w:sz w:val="22"/>
          <w:szCs w:val="22"/>
        </w:rPr>
      </w:pPr>
      <w:r>
        <w:rPr>
          <w:rFonts w:hint="eastAsia"/>
          <w:sz w:val="22"/>
          <w:szCs w:val="22"/>
        </w:rPr>
        <w:t xml:space="preserve">In LTE-LAA, RSSI and channel occupancy measurement/reporting are supported. </w:t>
      </w:r>
      <w:r>
        <w:rPr>
          <w:sz w:val="22"/>
          <w:szCs w:val="22"/>
        </w:rPr>
        <w:t>Separate measurement window configuration for these measurements is configured as RMTC (RSSI Measurement Time Configuration). Since these measurements are supported mainly for estimating the presence of hidden node(s), i.e., these are for measuring coexisting system, there would be no need to change the measurement mechanism from LTE-LAA. Therefore, we propose to support the RSSI and channel occupancy measurement/reporting in NR-U by reusing LTE-LAA mechanism.</w:t>
      </w:r>
    </w:p>
    <w:p w14:paraId="5DF07C24" w14:textId="5736DEE8" w:rsidR="00341F38" w:rsidRDefault="00341F38" w:rsidP="00341F3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14</w:t>
      </w:r>
      <w:r>
        <w:rPr>
          <w:rFonts w:eastAsia="游明朝" w:hint="eastAsia"/>
          <w:b/>
          <w:sz w:val="22"/>
          <w:szCs w:val="22"/>
        </w:rPr>
        <w:t xml:space="preserve">: </w:t>
      </w:r>
      <w:r>
        <w:rPr>
          <w:rFonts w:eastAsia="游明朝"/>
          <w:b/>
          <w:sz w:val="22"/>
          <w:szCs w:val="22"/>
        </w:rPr>
        <w:t xml:space="preserve">The </w:t>
      </w:r>
      <w:r w:rsidRPr="00341F38">
        <w:rPr>
          <w:rFonts w:eastAsia="游明朝"/>
          <w:b/>
          <w:sz w:val="22"/>
          <w:szCs w:val="22"/>
        </w:rPr>
        <w:t xml:space="preserve">RSSI and channel occupancy measurement/reporting </w:t>
      </w:r>
      <w:r>
        <w:rPr>
          <w:rFonts w:eastAsia="游明朝"/>
          <w:b/>
          <w:sz w:val="22"/>
          <w:szCs w:val="22"/>
        </w:rPr>
        <w:t xml:space="preserve">are supported </w:t>
      </w:r>
      <w:r w:rsidRPr="00341F38">
        <w:rPr>
          <w:rFonts w:eastAsia="游明朝"/>
          <w:b/>
          <w:sz w:val="22"/>
          <w:szCs w:val="22"/>
        </w:rPr>
        <w:t>in NR-U by reusing LTE-LAA mechanism</w:t>
      </w:r>
      <w:r>
        <w:rPr>
          <w:rFonts w:eastAsia="游明朝"/>
          <w:b/>
          <w:sz w:val="22"/>
          <w:szCs w:val="22"/>
        </w:rPr>
        <w:t>.</w:t>
      </w:r>
    </w:p>
    <w:p w14:paraId="4328EF17" w14:textId="1570646E" w:rsidR="00341F38" w:rsidRDefault="0099652F" w:rsidP="00341F38">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13C97AAC" w14:textId="44617885" w:rsidR="0099652F" w:rsidRPr="00341F38" w:rsidRDefault="0099652F" w:rsidP="00341F38">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5B38257B" w14:textId="77777777" w:rsidR="00341F38" w:rsidRPr="004F2ACC" w:rsidRDefault="00341F38" w:rsidP="004F2ACC">
      <w:pPr>
        <w:spacing w:afterLines="50" w:after="120"/>
        <w:rPr>
          <w:sz w:val="22"/>
          <w:szCs w:val="22"/>
        </w:rPr>
      </w:pP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1C951A2D" w14:textId="77777777" w:rsidR="008D1885" w:rsidRDefault="008D1885" w:rsidP="008D188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duration of NR-U DRS transmission window is [5 or 6]ms.</w:t>
      </w:r>
    </w:p>
    <w:p w14:paraId="7C52CE80" w14:textId="77777777" w:rsidR="008D1885" w:rsidRDefault="008D1885" w:rsidP="008D188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The number of candidate SS/PBCH block positions within NR-U DRS transmission window is [10 or 12] in case of 15kHz SCS or [20 or 24] in case of 30kHz SCS.</w:t>
      </w:r>
    </w:p>
    <w:p w14:paraId="08042253" w14:textId="77777777" w:rsidR="009A6B67" w:rsidRDefault="009A6B67" w:rsidP="009A6B6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In NR-U, UE assumes that SS/PBCH blocks transmitted with different SS/PBCH block index are QCLed.</w:t>
      </w:r>
    </w:p>
    <w:p w14:paraId="21A58965" w14:textId="77777777" w:rsidR="009A6B67" w:rsidRPr="009A6B67" w:rsidRDefault="009A6B67" w:rsidP="009A6B67">
      <w:pPr>
        <w:pStyle w:val="afc"/>
        <w:numPr>
          <w:ilvl w:val="0"/>
          <w:numId w:val="17"/>
        </w:numPr>
        <w:spacing w:afterLines="50" w:after="120"/>
        <w:ind w:leftChars="0"/>
        <w:jc w:val="both"/>
        <w:rPr>
          <w:rFonts w:eastAsia="游明朝"/>
          <w:b/>
          <w:sz w:val="22"/>
          <w:szCs w:val="22"/>
        </w:rPr>
      </w:pPr>
      <w:r>
        <w:rPr>
          <w:rFonts w:eastAsia="游明朝"/>
          <w:b/>
          <w:sz w:val="22"/>
          <w:szCs w:val="22"/>
        </w:rPr>
        <w:t>QCL assumption for each SS/PBCH block within DRS transmission window is fixed according to specification and/or gNB configuration.</w:t>
      </w:r>
    </w:p>
    <w:p w14:paraId="0713D65B" w14:textId="77777777" w:rsidR="008D1885" w:rsidRDefault="008D1885" w:rsidP="008D188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On NR-U carrier, UE derives SS/PBCH block index based on DMRS sequence and PBCH payload to determine frame timing.</w:t>
      </w:r>
    </w:p>
    <w:p w14:paraId="62AF94B2" w14:textId="0C5E7EC5" w:rsidR="00E362F8" w:rsidRPr="00D446AF" w:rsidRDefault="00E362F8" w:rsidP="00E362F8">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sidR="00BF52CB">
        <w:rPr>
          <w:rFonts w:eastAsia="游明朝" w:hint="eastAsia"/>
          <w:b/>
          <w:sz w:val="22"/>
          <w:szCs w:val="22"/>
          <w:u w:val="single"/>
        </w:rPr>
        <w:t>5</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04E84929" w14:textId="77777777" w:rsidR="00E362F8" w:rsidRPr="00D446AF" w:rsidRDefault="00E362F8" w:rsidP="00E362F8">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5E4B4ADD" w14:textId="77777777" w:rsidR="00E362F8" w:rsidRPr="00D446AF" w:rsidRDefault="00E362F8" w:rsidP="00E362F8">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5CAFD946" w14:textId="77777777" w:rsidR="00B9435A" w:rsidRPr="00B9435A" w:rsidRDefault="00B9435A" w:rsidP="00B9435A">
      <w:pPr>
        <w:spacing w:afterLines="50" w:after="120"/>
        <w:jc w:val="both"/>
        <w:rPr>
          <w:rFonts w:eastAsia="游明朝"/>
          <w:b/>
          <w:sz w:val="22"/>
          <w:szCs w:val="22"/>
        </w:rPr>
      </w:pPr>
      <w:r w:rsidRPr="00B9435A">
        <w:rPr>
          <w:rFonts w:eastAsia="游明朝"/>
          <w:b/>
          <w:sz w:val="22"/>
          <w:szCs w:val="22"/>
          <w:u w:val="single"/>
        </w:rPr>
        <w:t>Proposal</w:t>
      </w:r>
      <w:r w:rsidRPr="00B9435A">
        <w:rPr>
          <w:rFonts w:eastAsia="游明朝" w:hint="eastAsia"/>
          <w:b/>
          <w:sz w:val="22"/>
          <w:szCs w:val="22"/>
          <w:u w:val="single"/>
        </w:rPr>
        <w:t xml:space="preserve"> 6</w:t>
      </w:r>
      <w:r w:rsidRPr="00B9435A">
        <w:rPr>
          <w:rFonts w:eastAsia="游明朝" w:hint="eastAsia"/>
          <w:b/>
          <w:sz w:val="22"/>
          <w:szCs w:val="22"/>
        </w:rPr>
        <w:t xml:space="preserve">: </w:t>
      </w:r>
      <w:r w:rsidRPr="00B9435A">
        <w:rPr>
          <w:rFonts w:eastAsia="游明朝"/>
          <w:b/>
          <w:sz w:val="22"/>
          <w:szCs w:val="22"/>
        </w:rPr>
        <w:t>When DRS contains RMSI PDCCH/PDSCH and LBT failure happens at the transmission opportunity for the DRS, the RMSI PDCCH/PDSCH in the DRS is transmitted in other candidate DRS position within DRS transmission window.</w:t>
      </w:r>
    </w:p>
    <w:p w14:paraId="1EF31FED" w14:textId="77777777" w:rsidR="007B7266" w:rsidRDefault="007B7266" w:rsidP="007B72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7</w:t>
      </w:r>
      <w:r>
        <w:rPr>
          <w:rFonts w:eastAsia="游明朝" w:hint="eastAsia"/>
          <w:b/>
          <w:sz w:val="22"/>
          <w:szCs w:val="22"/>
        </w:rPr>
        <w:t xml:space="preserve">: </w:t>
      </w:r>
      <w:r>
        <w:rPr>
          <w:rFonts w:eastAsia="游明朝"/>
          <w:b/>
          <w:sz w:val="22"/>
          <w:szCs w:val="22"/>
        </w:rPr>
        <w:t>For paging in NR-U, the number of PDCCH monitoring occasions in each PO can be larger than the number of actually transmitted SSBs indicated in ssb-PositionsInBurst.</w:t>
      </w:r>
    </w:p>
    <w:p w14:paraId="185427D8" w14:textId="77777777" w:rsidR="008F695B" w:rsidRDefault="008F695B" w:rsidP="008F695B">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 xml:space="preserve">: </w:t>
      </w:r>
      <w:r>
        <w:rPr>
          <w:rFonts w:eastAsia="游明朝"/>
          <w:b/>
          <w:sz w:val="22"/>
          <w:szCs w:val="22"/>
        </w:rPr>
        <w:t>Frequency-domain enhancement of RACH resource, i.e., multiple PRACH resources across multiple LBT sub-bands for both contention-free and contention-based RA is supported for NR-U.</w:t>
      </w:r>
    </w:p>
    <w:p w14:paraId="755A5F25" w14:textId="77777777" w:rsidR="008F695B" w:rsidRDefault="008F695B" w:rsidP="008F695B">
      <w:pPr>
        <w:spacing w:afterLines="50" w:after="120"/>
        <w:rPr>
          <w:rFonts w:eastAsia="游明朝"/>
          <w:b/>
          <w:sz w:val="22"/>
          <w:szCs w:val="22"/>
        </w:rPr>
      </w:pPr>
      <w:r w:rsidRPr="0024680E">
        <w:rPr>
          <w:rFonts w:eastAsia="游明朝"/>
          <w:b/>
          <w:sz w:val="22"/>
          <w:szCs w:val="22"/>
          <w:u w:val="single"/>
        </w:rPr>
        <w:t xml:space="preserve">Proposal </w:t>
      </w:r>
      <w:r>
        <w:rPr>
          <w:rFonts w:eastAsia="游明朝"/>
          <w:b/>
          <w:sz w:val="22"/>
          <w:szCs w:val="22"/>
          <w:u w:val="single"/>
        </w:rPr>
        <w:t>9</w:t>
      </w:r>
      <w:r>
        <w:rPr>
          <w:rFonts w:eastAsia="游明朝"/>
          <w:b/>
          <w:sz w:val="22"/>
          <w:szCs w:val="22"/>
        </w:rPr>
        <w:t>: The dynamic scheduling of the PRACH resource should be considered as time-domain enhancement of RACH resource.</w:t>
      </w:r>
    </w:p>
    <w:p w14:paraId="4C4DC8CD" w14:textId="77777777" w:rsidR="00574D4E" w:rsidRDefault="00574D4E" w:rsidP="00574D4E">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10</w:t>
      </w:r>
      <w:r>
        <w:rPr>
          <w:rFonts w:eastAsia="游明朝"/>
          <w:b/>
          <w:sz w:val="22"/>
          <w:szCs w:val="22"/>
        </w:rPr>
        <w:t xml:space="preserve">: </w:t>
      </w:r>
      <w:r w:rsidRPr="0052715B">
        <w:rPr>
          <w:rFonts w:eastAsia="游明朝"/>
          <w:b/>
          <w:sz w:val="22"/>
          <w:szCs w:val="22"/>
        </w:rPr>
        <w:t xml:space="preserve">The maximum RAR window size extension beyond 10 ms </w:t>
      </w:r>
      <w:r>
        <w:rPr>
          <w:b/>
          <w:sz w:val="22"/>
          <w:szCs w:val="22"/>
          <w:lang w:val="en-US"/>
        </w:rPr>
        <w:t>is</w:t>
      </w:r>
      <w:r w:rsidRPr="0052715B">
        <w:rPr>
          <w:b/>
          <w:sz w:val="22"/>
          <w:szCs w:val="22"/>
          <w:lang w:val="en-US"/>
        </w:rPr>
        <w:t xml:space="preserve"> supported for NR-U.</w:t>
      </w:r>
    </w:p>
    <w:p w14:paraId="5F1D4E8A" w14:textId="77777777" w:rsidR="00574D4E" w:rsidRDefault="00574D4E" w:rsidP="00574D4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11</w:t>
      </w:r>
      <w:r>
        <w:rPr>
          <w:rFonts w:eastAsia="游明朝" w:hint="eastAsia"/>
          <w:b/>
          <w:sz w:val="22"/>
          <w:szCs w:val="22"/>
        </w:rPr>
        <w:t xml:space="preserve">: </w:t>
      </w:r>
      <w:r>
        <w:rPr>
          <w:rFonts w:eastAsia="游明朝"/>
          <w:b/>
          <w:sz w:val="22"/>
          <w:szCs w:val="22"/>
        </w:rPr>
        <w:t>Frequency-domain enhancement of msg 2 transmission is supported for NR-U.</w:t>
      </w:r>
    </w:p>
    <w:p w14:paraId="2B0E5FE7" w14:textId="6F126157" w:rsidR="006C2B0C" w:rsidRDefault="006C2B0C" w:rsidP="006C2B0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12</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6181FA9B" w14:textId="77777777" w:rsidR="006C2B0C" w:rsidRPr="006D3F03" w:rsidRDefault="006C2B0C" w:rsidP="006C2B0C">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1A84615A" w14:textId="2F2D387F" w:rsidR="006C2B0C" w:rsidRPr="006C2B0C" w:rsidRDefault="006C2B0C" w:rsidP="006C2B0C">
      <w:pPr>
        <w:spacing w:afterLines="50" w:after="120"/>
        <w:jc w:val="both"/>
        <w:rPr>
          <w:rFonts w:eastAsia="游明朝"/>
          <w:b/>
          <w:sz w:val="22"/>
          <w:szCs w:val="22"/>
        </w:rPr>
      </w:pPr>
      <w:r w:rsidRPr="006C2B0C">
        <w:rPr>
          <w:rFonts w:eastAsia="游明朝"/>
          <w:b/>
          <w:sz w:val="22"/>
          <w:szCs w:val="22"/>
          <w:u w:val="single"/>
        </w:rPr>
        <w:t>Proposal</w:t>
      </w:r>
      <w:r w:rsidRPr="006C2B0C">
        <w:rPr>
          <w:rFonts w:eastAsia="游明朝" w:hint="eastAsia"/>
          <w:b/>
          <w:sz w:val="22"/>
          <w:szCs w:val="22"/>
          <w:u w:val="single"/>
        </w:rPr>
        <w:t xml:space="preserve"> </w:t>
      </w:r>
      <w:r w:rsidR="00574D4E">
        <w:rPr>
          <w:rFonts w:eastAsia="游明朝"/>
          <w:b/>
          <w:sz w:val="22"/>
          <w:szCs w:val="22"/>
          <w:u w:val="single"/>
        </w:rPr>
        <w:t>13</w:t>
      </w:r>
      <w:r w:rsidRPr="006C2B0C">
        <w:rPr>
          <w:rFonts w:eastAsia="游明朝" w:hint="eastAsia"/>
          <w:b/>
          <w:sz w:val="22"/>
          <w:szCs w:val="22"/>
        </w:rPr>
        <w:t xml:space="preserve">: </w:t>
      </w:r>
      <w:r w:rsidRPr="006C2B0C">
        <w:rPr>
          <w:rFonts w:eastAsia="游明朝"/>
          <w:b/>
          <w:sz w:val="22"/>
          <w:szCs w:val="22"/>
        </w:rPr>
        <w:t>The RRM DMTC for DRS based RRM measurement is separately configured from the DRS transmission window configuration.</w:t>
      </w:r>
    </w:p>
    <w:p w14:paraId="65F57A60" w14:textId="74DD3D92" w:rsidR="006C2B0C" w:rsidRDefault="006C2B0C" w:rsidP="006C2B0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14</w:t>
      </w:r>
      <w:r>
        <w:rPr>
          <w:rFonts w:eastAsia="游明朝" w:hint="eastAsia"/>
          <w:b/>
          <w:sz w:val="22"/>
          <w:szCs w:val="22"/>
        </w:rPr>
        <w:t xml:space="preserve">: </w:t>
      </w:r>
      <w:r>
        <w:rPr>
          <w:rFonts w:eastAsia="游明朝"/>
          <w:b/>
          <w:sz w:val="22"/>
          <w:szCs w:val="22"/>
        </w:rPr>
        <w:t xml:space="preserve">The </w:t>
      </w:r>
      <w:r w:rsidRPr="00341F38">
        <w:rPr>
          <w:rFonts w:eastAsia="游明朝"/>
          <w:b/>
          <w:sz w:val="22"/>
          <w:szCs w:val="22"/>
        </w:rPr>
        <w:t xml:space="preserve">RSSI and channel occupancy measurement/reporting </w:t>
      </w:r>
      <w:r>
        <w:rPr>
          <w:rFonts w:eastAsia="游明朝"/>
          <w:b/>
          <w:sz w:val="22"/>
          <w:szCs w:val="22"/>
        </w:rPr>
        <w:t xml:space="preserve">are supported </w:t>
      </w:r>
      <w:r w:rsidRPr="00341F38">
        <w:rPr>
          <w:rFonts w:eastAsia="游明朝"/>
          <w:b/>
          <w:sz w:val="22"/>
          <w:szCs w:val="22"/>
        </w:rPr>
        <w:t>in NR-U by reusing LTE-LAA mechanism</w:t>
      </w:r>
      <w:r>
        <w:rPr>
          <w:rFonts w:eastAsia="游明朝"/>
          <w:b/>
          <w:sz w:val="22"/>
          <w:szCs w:val="22"/>
        </w:rPr>
        <w:t>.</w:t>
      </w:r>
    </w:p>
    <w:p w14:paraId="1564A9FE" w14:textId="77777777" w:rsidR="006C2B0C" w:rsidRDefault="006C2B0C" w:rsidP="006C2B0C">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51DA2514" w14:textId="77777777" w:rsidR="006C2B0C" w:rsidRPr="00341F38" w:rsidRDefault="006C2B0C" w:rsidP="006C2B0C">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7CC98230" w14:textId="77777777" w:rsidR="008D1885" w:rsidRPr="008D1885"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6D37CB44"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7822518B" w14:textId="5EBBA6C7" w:rsidR="009517C5" w:rsidRDefault="00484F06" w:rsidP="009517C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5FFA1BB3" w14:textId="48397564" w:rsidR="00E95438" w:rsidRDefault="00E95438" w:rsidP="009517C5">
      <w:pPr>
        <w:pStyle w:val="afc"/>
        <w:numPr>
          <w:ilvl w:val="0"/>
          <w:numId w:val="4"/>
        </w:numPr>
        <w:spacing w:afterLines="50" w:after="120"/>
        <w:ind w:leftChars="0"/>
        <w:jc w:val="both"/>
        <w:rPr>
          <w:rFonts w:eastAsia="ＭＳ 明朝"/>
          <w:sz w:val="22"/>
        </w:rPr>
      </w:pPr>
      <w:r>
        <w:rPr>
          <w:rFonts w:eastAsia="ＭＳ 明朝"/>
          <w:sz w:val="22"/>
        </w:rPr>
        <w:t>3GPP, TS38.213 v15.4.0, Dec. 2018.</w:t>
      </w:r>
    </w:p>
    <w:p w14:paraId="7E8F8A7A" w14:textId="412D2C9C" w:rsidR="00141ABF" w:rsidRDefault="00141ABF" w:rsidP="00141ABF">
      <w:pPr>
        <w:pStyle w:val="afc"/>
        <w:numPr>
          <w:ilvl w:val="0"/>
          <w:numId w:val="4"/>
        </w:numPr>
        <w:spacing w:afterLines="50" w:after="120"/>
        <w:ind w:leftChars="0"/>
        <w:jc w:val="both"/>
        <w:rPr>
          <w:rFonts w:eastAsia="ＭＳ 明朝"/>
          <w:sz w:val="22"/>
        </w:rPr>
      </w:pPr>
      <w:r>
        <w:rPr>
          <w:rFonts w:eastAsia="ＭＳ 明朝"/>
          <w:sz w:val="22"/>
        </w:rPr>
        <w:t>3GPP, TS38.214 v15.4.0, Dec. 2018.</w:t>
      </w:r>
    </w:p>
    <w:p w14:paraId="7D152FD7" w14:textId="67E31167" w:rsidR="00BF52CB" w:rsidRPr="00BF52CB" w:rsidRDefault="00BF52CB" w:rsidP="00BF52CB">
      <w:pPr>
        <w:pStyle w:val="afc"/>
        <w:numPr>
          <w:ilvl w:val="0"/>
          <w:numId w:val="4"/>
        </w:numPr>
        <w:spacing w:afterLines="50" w:after="120"/>
        <w:ind w:leftChars="0"/>
        <w:jc w:val="both"/>
        <w:rPr>
          <w:rFonts w:eastAsia="ＭＳ 明朝"/>
          <w:sz w:val="22"/>
        </w:rPr>
      </w:pPr>
      <w:r>
        <w:rPr>
          <w:rFonts w:eastAsia="ＭＳ 明朝"/>
          <w:sz w:val="22"/>
        </w:rPr>
        <w:t>3GPP, R1-19</w:t>
      </w:r>
      <w:r w:rsidR="00F95A0C">
        <w:rPr>
          <w:rFonts w:eastAsia="ＭＳ 明朝"/>
          <w:sz w:val="22"/>
        </w:rPr>
        <w:t>00950</w:t>
      </w:r>
      <w:r>
        <w:rPr>
          <w:rFonts w:eastAsia="ＭＳ 明朝"/>
          <w:sz w:val="22"/>
        </w:rPr>
        <w:t>, NTT DOCOMO, INC., “</w:t>
      </w:r>
      <w:r w:rsidRPr="00D5782A">
        <w:rPr>
          <w:rFonts w:eastAsia="ＭＳ 明朝"/>
          <w:sz w:val="22"/>
        </w:rPr>
        <w:t>Initial access signals and channels for NR-U</w:t>
      </w:r>
      <w:r>
        <w:rPr>
          <w:rFonts w:eastAsia="ＭＳ 明朝"/>
          <w:sz w:val="22"/>
        </w:rPr>
        <w:t>,” Jan. 2019.</w:t>
      </w:r>
    </w:p>
    <w:sectPr w:rsidR="00BF52CB" w:rsidRPr="00BF52C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202CF" w14:textId="77777777" w:rsidR="00AD4616" w:rsidRDefault="00AD4616">
      <w:r>
        <w:separator/>
      </w:r>
    </w:p>
  </w:endnote>
  <w:endnote w:type="continuationSeparator" w:id="0">
    <w:p w14:paraId="66707954" w14:textId="77777777" w:rsidR="00AD4616" w:rsidRDefault="00AD4616">
      <w:r>
        <w:continuationSeparator/>
      </w:r>
    </w:p>
  </w:endnote>
  <w:endnote w:type="continuationNotice" w:id="1">
    <w:p w14:paraId="7E16E69E" w14:textId="77777777" w:rsidR="00AD4616" w:rsidRDefault="00AD4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0DD0DE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816A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816A7">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E4AB4" w14:textId="77777777" w:rsidR="00AD4616" w:rsidRDefault="00AD4616">
      <w:r>
        <w:separator/>
      </w:r>
    </w:p>
  </w:footnote>
  <w:footnote w:type="continuationSeparator" w:id="0">
    <w:p w14:paraId="6BD47BDC" w14:textId="77777777" w:rsidR="00AD4616" w:rsidRDefault="00AD4616">
      <w:r>
        <w:continuationSeparator/>
      </w:r>
    </w:p>
  </w:footnote>
  <w:footnote w:type="continuationNotice" w:id="1">
    <w:p w14:paraId="1B356894" w14:textId="77777777" w:rsidR="00AD4616" w:rsidRDefault="00AD461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8"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2965208"/>
    <w:multiLevelType w:val="hybridMultilevel"/>
    <w:tmpl w:val="8B8E654C"/>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3"/>
  </w:num>
  <w:num w:numId="5">
    <w:abstractNumId w:val="16"/>
  </w:num>
  <w:num w:numId="6">
    <w:abstractNumId w:val="9"/>
  </w:num>
  <w:num w:numId="7">
    <w:abstractNumId w:val="15"/>
  </w:num>
  <w:num w:numId="8">
    <w:abstractNumId w:val="2"/>
  </w:num>
  <w:num w:numId="9">
    <w:abstractNumId w:val="7"/>
  </w:num>
  <w:num w:numId="10">
    <w:abstractNumId w:val="5"/>
  </w:num>
  <w:num w:numId="11">
    <w:abstractNumId w:val="10"/>
  </w:num>
  <w:num w:numId="12">
    <w:abstractNumId w:val="14"/>
  </w:num>
  <w:num w:numId="13">
    <w:abstractNumId w:val="13"/>
  </w:num>
  <w:num w:numId="14">
    <w:abstractNumId w:val="1"/>
  </w:num>
  <w:num w:numId="15">
    <w:abstractNumId w:val="8"/>
  </w:num>
  <w:num w:numId="16">
    <w:abstractNumId w:val="4"/>
  </w:num>
  <w:num w:numId="1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BEA"/>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9EB14-3CE5-4F2A-BB74-D7CD1B023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4104</Words>
  <Characters>22899</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2019-01-11T09:06:00Z</dcterms:created>
  <dcterms:modified xsi:type="dcterms:W3CDTF">2019-01-11T09:06:00Z</dcterms:modified>
</cp:coreProperties>
</file>